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54D3" w14:textId="0BFF0DED" w:rsidR="00CF2739" w:rsidRPr="007B6F46" w:rsidRDefault="007B6F46" w:rsidP="00CF2739">
      <w:pPr>
        <w:spacing w:after="0" w:line="240" w:lineRule="auto"/>
        <w:jc w:val="center"/>
        <w:rPr>
          <w:rFonts w:ascii="Cambria" w:hAnsi="Cambria" w:cs="Times New Roman"/>
          <w:b/>
          <w:bCs/>
          <w:caps/>
          <w:sz w:val="32"/>
          <w:szCs w:val="32"/>
        </w:rPr>
      </w:pPr>
      <w:r w:rsidRPr="007B6F46">
        <w:rPr>
          <w:rFonts w:ascii="Cambria" w:hAnsi="Cambria" w:cs="Times New Roman"/>
          <w:b/>
          <w:bCs/>
          <w:caps/>
          <w:sz w:val="32"/>
          <w:szCs w:val="32"/>
        </w:rPr>
        <w:t>Simple Lawsuits in Dispute Resolution within Sharia Economic Law in Indonesia</w:t>
      </w:r>
    </w:p>
    <w:p w14:paraId="663ABDD6" w14:textId="77777777" w:rsidR="00694E8A" w:rsidRPr="004E578B" w:rsidRDefault="00694E8A" w:rsidP="00694E8A">
      <w:pPr>
        <w:spacing w:after="0" w:line="240" w:lineRule="auto"/>
        <w:jc w:val="center"/>
        <w:outlineLvl w:val="0"/>
        <w:rPr>
          <w:rFonts w:ascii="Cambria" w:hAnsi="Cambria" w:cs="Times New Roman"/>
          <w:b/>
          <w:bCs/>
          <w:sz w:val="24"/>
          <w:szCs w:val="24"/>
          <w:lang w:val="id-ID"/>
        </w:rPr>
      </w:pPr>
    </w:p>
    <w:p w14:paraId="76919D92" w14:textId="2D7A983E" w:rsidR="00CF2739" w:rsidRDefault="007B6F46" w:rsidP="00CF2739">
      <w:pPr>
        <w:tabs>
          <w:tab w:val="center" w:pos="3118"/>
          <w:tab w:val="right" w:pos="6237"/>
        </w:tabs>
        <w:spacing w:after="0" w:line="240" w:lineRule="auto"/>
        <w:jc w:val="center"/>
        <w:outlineLvl w:val="0"/>
        <w:rPr>
          <w:rFonts w:ascii="Cambria" w:hAnsi="Cambria"/>
          <w:sz w:val="24"/>
          <w:szCs w:val="24"/>
          <w:lang w:val="id-ID"/>
        </w:rPr>
      </w:pPr>
      <w:bookmarkStart w:id="0" w:name="_Hlk166313547"/>
      <w:r>
        <w:rPr>
          <w:rFonts w:ascii="Cambria" w:hAnsi="Cambria" w:cs="Times New Roman"/>
          <w:b/>
          <w:bCs/>
          <w:sz w:val="28"/>
          <w:szCs w:val="28"/>
        </w:rPr>
        <w:t>Dadin Solihin</w:t>
      </w:r>
    </w:p>
    <w:p w14:paraId="4B56DA48" w14:textId="46C15700" w:rsidR="00694E8A" w:rsidRDefault="007B6F46" w:rsidP="00CF2739">
      <w:pPr>
        <w:tabs>
          <w:tab w:val="center" w:pos="3118"/>
          <w:tab w:val="right" w:pos="6237"/>
        </w:tabs>
        <w:spacing w:after="0" w:line="240" w:lineRule="auto"/>
        <w:jc w:val="center"/>
        <w:outlineLvl w:val="0"/>
        <w:rPr>
          <w:rFonts w:asciiTheme="majorBidi" w:hAnsiTheme="majorBidi" w:cstheme="majorBidi"/>
          <w:sz w:val="24"/>
          <w:szCs w:val="24"/>
          <w:lang w:val="id-ID"/>
        </w:rPr>
      </w:pPr>
      <w:r>
        <w:rPr>
          <w:rFonts w:ascii="Cambria" w:hAnsi="Cambria" w:cs="Times New Roman"/>
          <w:bCs/>
          <w:i/>
          <w:iCs/>
          <w:sz w:val="24"/>
          <w:szCs w:val="24"/>
        </w:rPr>
        <w:t xml:space="preserve">STAI Pelita Nusa Bandung Barat, </w:t>
      </w:r>
      <w:r w:rsidRPr="007B6F46">
        <w:rPr>
          <w:rFonts w:ascii="Cambria" w:hAnsi="Cambria" w:cs="Times New Roman"/>
          <w:bCs/>
          <w:i/>
          <w:iCs/>
          <w:sz w:val="24"/>
          <w:szCs w:val="24"/>
        </w:rPr>
        <w:t xml:space="preserve">Jl. Raya </w:t>
      </w:r>
      <w:proofErr w:type="spellStart"/>
      <w:r w:rsidRPr="007B6F46">
        <w:rPr>
          <w:rFonts w:ascii="Cambria" w:hAnsi="Cambria" w:cs="Times New Roman"/>
          <w:bCs/>
          <w:i/>
          <w:iCs/>
          <w:sz w:val="24"/>
          <w:szCs w:val="24"/>
        </w:rPr>
        <w:t>Caringin</w:t>
      </w:r>
      <w:proofErr w:type="spellEnd"/>
      <w:r w:rsidRPr="007B6F46">
        <w:rPr>
          <w:rFonts w:ascii="Cambria" w:hAnsi="Cambria" w:cs="Times New Roman"/>
          <w:bCs/>
          <w:i/>
          <w:iCs/>
          <w:sz w:val="24"/>
          <w:szCs w:val="24"/>
        </w:rPr>
        <w:t xml:space="preserve"> No. 374, </w:t>
      </w:r>
      <w:proofErr w:type="spellStart"/>
      <w:r w:rsidRPr="007B6F46">
        <w:rPr>
          <w:rFonts w:ascii="Cambria" w:hAnsi="Cambria" w:cs="Times New Roman"/>
          <w:bCs/>
          <w:i/>
          <w:iCs/>
          <w:sz w:val="24"/>
          <w:szCs w:val="24"/>
        </w:rPr>
        <w:t>Desa</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Margajaya</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Kecamatan</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Ngamprah</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Kabupaten</w:t>
      </w:r>
      <w:proofErr w:type="spellEnd"/>
      <w:r w:rsidRPr="007B6F46">
        <w:rPr>
          <w:rFonts w:ascii="Cambria" w:hAnsi="Cambria" w:cs="Times New Roman"/>
          <w:bCs/>
          <w:i/>
          <w:iCs/>
          <w:sz w:val="24"/>
          <w:szCs w:val="24"/>
        </w:rPr>
        <w:t xml:space="preserve"> Bandung Barat, </w:t>
      </w:r>
      <w:proofErr w:type="spellStart"/>
      <w:r w:rsidRPr="007B6F46">
        <w:rPr>
          <w:rFonts w:ascii="Cambria" w:hAnsi="Cambria" w:cs="Times New Roman"/>
          <w:bCs/>
          <w:i/>
          <w:iCs/>
          <w:sz w:val="24"/>
          <w:szCs w:val="24"/>
        </w:rPr>
        <w:t>Jawa</w:t>
      </w:r>
      <w:proofErr w:type="spellEnd"/>
      <w:r w:rsidRPr="007B6F46">
        <w:rPr>
          <w:rFonts w:ascii="Cambria" w:hAnsi="Cambria" w:cs="Times New Roman"/>
          <w:bCs/>
          <w:i/>
          <w:iCs/>
          <w:sz w:val="24"/>
          <w:szCs w:val="24"/>
        </w:rPr>
        <w:t xml:space="preserve"> Barat 40552</w:t>
      </w:r>
      <w:r>
        <w:rPr>
          <w:rFonts w:ascii="Cambria" w:hAnsi="Cambria" w:cs="Times New Roman"/>
          <w:bCs/>
          <w:i/>
          <w:iCs/>
          <w:sz w:val="24"/>
          <w:szCs w:val="24"/>
        </w:rPr>
        <w:t xml:space="preserve">, </w:t>
      </w:r>
      <w:hyperlink r:id="rId8" w:history="1">
        <w:r w:rsidRPr="00B44EE0">
          <w:rPr>
            <w:rStyle w:val="Hyperlink"/>
            <w:rFonts w:ascii="Cambria" w:hAnsi="Cambria" w:cs="Times New Roman"/>
            <w:bCs/>
            <w:i/>
            <w:iCs/>
            <w:sz w:val="24"/>
            <w:szCs w:val="24"/>
          </w:rPr>
          <w:t>dadinsolihin21@gmail.com</w:t>
        </w:r>
      </w:hyperlink>
      <w:bookmarkEnd w:id="0"/>
      <w:r>
        <w:rPr>
          <w:rFonts w:ascii="Cambria" w:hAnsi="Cambria" w:cs="Times New Roman"/>
          <w:bCs/>
          <w:i/>
          <w:iCs/>
          <w:sz w:val="24"/>
          <w:szCs w:val="24"/>
        </w:rPr>
        <w:t xml:space="preserve"> </w:t>
      </w:r>
    </w:p>
    <w:p w14:paraId="2FE8ABF8" w14:textId="77777777" w:rsidR="008D3A3F" w:rsidRPr="00CF2739" w:rsidRDefault="008D3A3F" w:rsidP="00CF2739">
      <w:pPr>
        <w:tabs>
          <w:tab w:val="center" w:pos="3118"/>
          <w:tab w:val="right" w:pos="6237"/>
        </w:tabs>
        <w:spacing w:after="0" w:line="240" w:lineRule="auto"/>
        <w:jc w:val="center"/>
        <w:outlineLvl w:val="0"/>
        <w:rPr>
          <w:rFonts w:asciiTheme="majorBidi" w:hAnsiTheme="majorBidi" w:cstheme="majorBidi"/>
          <w:bCs/>
          <w:i/>
          <w:iCs/>
          <w:sz w:val="20"/>
          <w:szCs w:val="20"/>
          <w:lang w:val="id-ID"/>
        </w:rPr>
      </w:pPr>
    </w:p>
    <w:p w14:paraId="0754C603" w14:textId="0E5A463C" w:rsidR="007B6F46" w:rsidRDefault="00673E5F" w:rsidP="007B6F46">
      <w:pPr>
        <w:tabs>
          <w:tab w:val="center" w:pos="3118"/>
          <w:tab w:val="right" w:pos="6237"/>
        </w:tabs>
        <w:spacing w:after="0" w:line="240" w:lineRule="auto"/>
        <w:jc w:val="center"/>
        <w:outlineLvl w:val="0"/>
        <w:rPr>
          <w:rFonts w:ascii="Cambria" w:hAnsi="Cambria"/>
          <w:sz w:val="24"/>
          <w:szCs w:val="24"/>
          <w:lang w:val="id-ID"/>
        </w:rPr>
      </w:pPr>
      <w:proofErr w:type="spellStart"/>
      <w:r>
        <w:rPr>
          <w:rFonts w:ascii="Cambria" w:hAnsi="Cambria" w:cs="Times New Roman"/>
          <w:b/>
          <w:bCs/>
          <w:sz w:val="28"/>
          <w:szCs w:val="28"/>
        </w:rPr>
        <w:t>Setiadi</w:t>
      </w:r>
      <w:proofErr w:type="spellEnd"/>
    </w:p>
    <w:p w14:paraId="59486877" w14:textId="49744CC4" w:rsidR="008D3A3F" w:rsidRDefault="007B6F46" w:rsidP="007B6F46">
      <w:pPr>
        <w:tabs>
          <w:tab w:val="center" w:pos="3118"/>
          <w:tab w:val="right" w:pos="6237"/>
        </w:tabs>
        <w:spacing w:after="0" w:line="240" w:lineRule="auto"/>
        <w:jc w:val="center"/>
        <w:outlineLvl w:val="0"/>
        <w:rPr>
          <w:rFonts w:ascii="Cambria" w:hAnsi="Cambria" w:cs="Times New Roman"/>
          <w:bCs/>
          <w:i/>
          <w:iCs/>
          <w:sz w:val="24"/>
          <w:szCs w:val="24"/>
        </w:rPr>
      </w:pPr>
      <w:r>
        <w:rPr>
          <w:rFonts w:ascii="Cambria" w:hAnsi="Cambria" w:cs="Times New Roman"/>
          <w:bCs/>
          <w:i/>
          <w:iCs/>
          <w:sz w:val="24"/>
          <w:szCs w:val="24"/>
        </w:rPr>
        <w:t xml:space="preserve">STAI Pelita Nusa Bandung Barat, </w:t>
      </w:r>
      <w:r w:rsidRPr="007B6F46">
        <w:rPr>
          <w:rFonts w:ascii="Cambria" w:hAnsi="Cambria" w:cs="Times New Roman"/>
          <w:bCs/>
          <w:i/>
          <w:iCs/>
          <w:sz w:val="24"/>
          <w:szCs w:val="24"/>
        </w:rPr>
        <w:t xml:space="preserve">Jl. Raya </w:t>
      </w:r>
      <w:proofErr w:type="spellStart"/>
      <w:r w:rsidRPr="007B6F46">
        <w:rPr>
          <w:rFonts w:ascii="Cambria" w:hAnsi="Cambria" w:cs="Times New Roman"/>
          <w:bCs/>
          <w:i/>
          <w:iCs/>
          <w:sz w:val="24"/>
          <w:szCs w:val="24"/>
        </w:rPr>
        <w:t>Caringin</w:t>
      </w:r>
      <w:proofErr w:type="spellEnd"/>
      <w:r w:rsidRPr="007B6F46">
        <w:rPr>
          <w:rFonts w:ascii="Cambria" w:hAnsi="Cambria" w:cs="Times New Roman"/>
          <w:bCs/>
          <w:i/>
          <w:iCs/>
          <w:sz w:val="24"/>
          <w:szCs w:val="24"/>
        </w:rPr>
        <w:t xml:space="preserve"> No. 374, </w:t>
      </w:r>
      <w:proofErr w:type="spellStart"/>
      <w:r w:rsidRPr="007B6F46">
        <w:rPr>
          <w:rFonts w:ascii="Cambria" w:hAnsi="Cambria" w:cs="Times New Roman"/>
          <w:bCs/>
          <w:i/>
          <w:iCs/>
          <w:sz w:val="24"/>
          <w:szCs w:val="24"/>
        </w:rPr>
        <w:t>Desa</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Margajaya</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Kecamatan</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Ngamprah</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Kabupaten</w:t>
      </w:r>
      <w:proofErr w:type="spellEnd"/>
      <w:r w:rsidRPr="007B6F46">
        <w:rPr>
          <w:rFonts w:ascii="Cambria" w:hAnsi="Cambria" w:cs="Times New Roman"/>
          <w:bCs/>
          <w:i/>
          <w:iCs/>
          <w:sz w:val="24"/>
          <w:szCs w:val="24"/>
        </w:rPr>
        <w:t xml:space="preserve"> Bandung Barat, </w:t>
      </w:r>
      <w:proofErr w:type="spellStart"/>
      <w:r w:rsidRPr="007B6F46">
        <w:rPr>
          <w:rFonts w:ascii="Cambria" w:hAnsi="Cambria" w:cs="Times New Roman"/>
          <w:bCs/>
          <w:i/>
          <w:iCs/>
          <w:sz w:val="24"/>
          <w:szCs w:val="24"/>
        </w:rPr>
        <w:t>Jawa</w:t>
      </w:r>
      <w:proofErr w:type="spellEnd"/>
      <w:r w:rsidRPr="007B6F46">
        <w:rPr>
          <w:rFonts w:ascii="Cambria" w:hAnsi="Cambria" w:cs="Times New Roman"/>
          <w:bCs/>
          <w:i/>
          <w:iCs/>
          <w:sz w:val="24"/>
          <w:szCs w:val="24"/>
        </w:rPr>
        <w:t xml:space="preserve"> Barat 40552</w:t>
      </w:r>
      <w:r>
        <w:rPr>
          <w:rFonts w:ascii="Cambria" w:hAnsi="Cambria" w:cs="Times New Roman"/>
          <w:bCs/>
          <w:i/>
          <w:iCs/>
          <w:sz w:val="24"/>
          <w:szCs w:val="24"/>
        </w:rPr>
        <w:t xml:space="preserve">, </w:t>
      </w:r>
      <w:hyperlink r:id="rId9" w:history="1">
        <w:r w:rsidR="00955EA0" w:rsidRPr="001705BA">
          <w:rPr>
            <w:rStyle w:val="Hyperlink"/>
            <w:rFonts w:ascii="Cambria" w:hAnsi="Cambria" w:cs="Times New Roman"/>
            <w:bCs/>
            <w:i/>
            <w:iCs/>
            <w:sz w:val="24"/>
            <w:szCs w:val="24"/>
          </w:rPr>
          <w:t>setiadi@staipelitanusa.ac.id</w:t>
        </w:r>
      </w:hyperlink>
    </w:p>
    <w:p w14:paraId="482466DD" w14:textId="378AFEA2" w:rsidR="007B6F46" w:rsidRDefault="007B6F46" w:rsidP="007B6F46">
      <w:pPr>
        <w:tabs>
          <w:tab w:val="center" w:pos="3118"/>
          <w:tab w:val="right" w:pos="6237"/>
        </w:tabs>
        <w:spacing w:after="0" w:line="240" w:lineRule="auto"/>
        <w:jc w:val="center"/>
        <w:outlineLvl w:val="0"/>
        <w:rPr>
          <w:rFonts w:ascii="Cambria" w:hAnsi="Cambria" w:cs="Times New Roman"/>
          <w:bCs/>
          <w:i/>
          <w:iCs/>
          <w:sz w:val="24"/>
          <w:szCs w:val="24"/>
        </w:rPr>
      </w:pPr>
    </w:p>
    <w:p w14:paraId="33E09EEF" w14:textId="3845341A" w:rsidR="007B6F46" w:rsidRDefault="00673E5F" w:rsidP="00673E5F">
      <w:pPr>
        <w:tabs>
          <w:tab w:val="center" w:pos="3118"/>
          <w:tab w:val="right" w:pos="6237"/>
        </w:tabs>
        <w:spacing w:after="0" w:line="240" w:lineRule="auto"/>
        <w:jc w:val="center"/>
        <w:outlineLvl w:val="0"/>
        <w:rPr>
          <w:rFonts w:ascii="Cambria" w:hAnsi="Cambria"/>
          <w:sz w:val="24"/>
          <w:szCs w:val="24"/>
          <w:lang w:val="id-ID"/>
        </w:rPr>
      </w:pPr>
      <w:proofErr w:type="spellStart"/>
      <w:r>
        <w:rPr>
          <w:rFonts w:ascii="Cambria" w:hAnsi="Cambria" w:cs="Times New Roman"/>
          <w:b/>
          <w:bCs/>
          <w:sz w:val="28"/>
          <w:szCs w:val="28"/>
        </w:rPr>
        <w:t>Bubun</w:t>
      </w:r>
      <w:proofErr w:type="spellEnd"/>
      <w:r>
        <w:rPr>
          <w:rFonts w:ascii="Cambria" w:hAnsi="Cambria" w:cs="Times New Roman"/>
          <w:b/>
          <w:bCs/>
          <w:sz w:val="28"/>
          <w:szCs w:val="28"/>
        </w:rPr>
        <w:t xml:space="preserve"> </w:t>
      </w:r>
      <w:proofErr w:type="spellStart"/>
      <w:r>
        <w:rPr>
          <w:rFonts w:ascii="Cambria" w:hAnsi="Cambria" w:cs="Times New Roman"/>
          <w:b/>
          <w:bCs/>
          <w:sz w:val="28"/>
          <w:szCs w:val="28"/>
        </w:rPr>
        <w:t>Bunyamin</w:t>
      </w:r>
      <w:proofErr w:type="spellEnd"/>
    </w:p>
    <w:p w14:paraId="6A57583A" w14:textId="7F5FB9FB" w:rsidR="007B6F46" w:rsidRDefault="007B6F46" w:rsidP="007B6F46">
      <w:pPr>
        <w:tabs>
          <w:tab w:val="center" w:pos="3118"/>
          <w:tab w:val="right" w:pos="6237"/>
        </w:tabs>
        <w:spacing w:after="0" w:line="240" w:lineRule="auto"/>
        <w:jc w:val="center"/>
        <w:outlineLvl w:val="0"/>
        <w:rPr>
          <w:rFonts w:asciiTheme="majorBidi" w:hAnsiTheme="majorBidi" w:cstheme="majorBidi"/>
          <w:sz w:val="24"/>
          <w:szCs w:val="24"/>
          <w:lang w:val="id-ID"/>
        </w:rPr>
      </w:pPr>
      <w:r>
        <w:rPr>
          <w:rFonts w:ascii="Cambria" w:hAnsi="Cambria" w:cs="Times New Roman"/>
          <w:bCs/>
          <w:i/>
          <w:iCs/>
          <w:sz w:val="24"/>
          <w:szCs w:val="24"/>
        </w:rPr>
        <w:t xml:space="preserve">STAI Pelita Nusa Bandung Barat, </w:t>
      </w:r>
      <w:r w:rsidRPr="007B6F46">
        <w:rPr>
          <w:rFonts w:ascii="Cambria" w:hAnsi="Cambria" w:cs="Times New Roman"/>
          <w:bCs/>
          <w:i/>
          <w:iCs/>
          <w:sz w:val="24"/>
          <w:szCs w:val="24"/>
        </w:rPr>
        <w:t xml:space="preserve">Jl. Raya </w:t>
      </w:r>
      <w:proofErr w:type="spellStart"/>
      <w:r w:rsidRPr="007B6F46">
        <w:rPr>
          <w:rFonts w:ascii="Cambria" w:hAnsi="Cambria" w:cs="Times New Roman"/>
          <w:bCs/>
          <w:i/>
          <w:iCs/>
          <w:sz w:val="24"/>
          <w:szCs w:val="24"/>
        </w:rPr>
        <w:t>Caringin</w:t>
      </w:r>
      <w:proofErr w:type="spellEnd"/>
      <w:r w:rsidRPr="007B6F46">
        <w:rPr>
          <w:rFonts w:ascii="Cambria" w:hAnsi="Cambria" w:cs="Times New Roman"/>
          <w:bCs/>
          <w:i/>
          <w:iCs/>
          <w:sz w:val="24"/>
          <w:szCs w:val="24"/>
        </w:rPr>
        <w:t xml:space="preserve"> No. 374, </w:t>
      </w:r>
      <w:proofErr w:type="spellStart"/>
      <w:r w:rsidRPr="007B6F46">
        <w:rPr>
          <w:rFonts w:ascii="Cambria" w:hAnsi="Cambria" w:cs="Times New Roman"/>
          <w:bCs/>
          <w:i/>
          <w:iCs/>
          <w:sz w:val="24"/>
          <w:szCs w:val="24"/>
        </w:rPr>
        <w:t>Desa</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Margajaya</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Kecamatan</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Ngamprah</w:t>
      </w:r>
      <w:proofErr w:type="spellEnd"/>
      <w:r w:rsidRPr="007B6F46">
        <w:rPr>
          <w:rFonts w:ascii="Cambria" w:hAnsi="Cambria" w:cs="Times New Roman"/>
          <w:bCs/>
          <w:i/>
          <w:iCs/>
          <w:sz w:val="24"/>
          <w:szCs w:val="24"/>
        </w:rPr>
        <w:t xml:space="preserve">, </w:t>
      </w:r>
      <w:proofErr w:type="spellStart"/>
      <w:r w:rsidRPr="007B6F46">
        <w:rPr>
          <w:rFonts w:ascii="Cambria" w:hAnsi="Cambria" w:cs="Times New Roman"/>
          <w:bCs/>
          <w:i/>
          <w:iCs/>
          <w:sz w:val="24"/>
          <w:szCs w:val="24"/>
        </w:rPr>
        <w:t>Kabupaten</w:t>
      </w:r>
      <w:proofErr w:type="spellEnd"/>
      <w:r w:rsidRPr="007B6F46">
        <w:rPr>
          <w:rFonts w:ascii="Cambria" w:hAnsi="Cambria" w:cs="Times New Roman"/>
          <w:bCs/>
          <w:i/>
          <w:iCs/>
          <w:sz w:val="24"/>
          <w:szCs w:val="24"/>
        </w:rPr>
        <w:t xml:space="preserve"> Bandung Barat, </w:t>
      </w:r>
      <w:proofErr w:type="spellStart"/>
      <w:r w:rsidRPr="007B6F46">
        <w:rPr>
          <w:rFonts w:ascii="Cambria" w:hAnsi="Cambria" w:cs="Times New Roman"/>
          <w:bCs/>
          <w:i/>
          <w:iCs/>
          <w:sz w:val="24"/>
          <w:szCs w:val="24"/>
        </w:rPr>
        <w:t>Jawa</w:t>
      </w:r>
      <w:proofErr w:type="spellEnd"/>
      <w:r w:rsidRPr="007B6F46">
        <w:rPr>
          <w:rFonts w:ascii="Cambria" w:hAnsi="Cambria" w:cs="Times New Roman"/>
          <w:bCs/>
          <w:i/>
          <w:iCs/>
          <w:sz w:val="24"/>
          <w:szCs w:val="24"/>
        </w:rPr>
        <w:t xml:space="preserve"> Barat 40552</w:t>
      </w:r>
      <w:r>
        <w:rPr>
          <w:rFonts w:ascii="Cambria" w:hAnsi="Cambria" w:cs="Times New Roman"/>
          <w:bCs/>
          <w:i/>
          <w:iCs/>
          <w:sz w:val="24"/>
          <w:szCs w:val="24"/>
        </w:rPr>
        <w:t xml:space="preserve">, </w:t>
      </w:r>
      <w:hyperlink r:id="rId10" w:history="1">
        <w:r w:rsidR="00673E5F" w:rsidRPr="00B44EE0">
          <w:rPr>
            <w:rStyle w:val="Hyperlink"/>
            <w:rFonts w:ascii="Cambria" w:hAnsi="Cambria" w:cs="Times New Roman"/>
            <w:bCs/>
            <w:i/>
            <w:iCs/>
            <w:sz w:val="24"/>
            <w:szCs w:val="24"/>
          </w:rPr>
          <w:t>bubunbunyamin@staipelitanusa.ac.id</w:t>
        </w:r>
      </w:hyperlink>
    </w:p>
    <w:p w14:paraId="5E00D9E4" w14:textId="77777777" w:rsidR="00CF2739" w:rsidRPr="004E578B" w:rsidRDefault="00CF2739" w:rsidP="00CF2739">
      <w:pPr>
        <w:tabs>
          <w:tab w:val="center" w:pos="3118"/>
          <w:tab w:val="right" w:pos="6237"/>
        </w:tabs>
        <w:spacing w:after="0" w:line="240" w:lineRule="auto"/>
        <w:jc w:val="center"/>
        <w:outlineLvl w:val="0"/>
        <w:rPr>
          <w:rFonts w:ascii="Cambria" w:hAnsi="Cambria" w:cs="Palatino"/>
          <w:lang w:val="id-ID"/>
        </w:rPr>
      </w:pPr>
    </w:p>
    <w:p w14:paraId="540DEC20" w14:textId="2E6556B4" w:rsidR="00E04425" w:rsidRPr="00485853" w:rsidRDefault="00E04425" w:rsidP="00DC7466">
      <w:pPr>
        <w:spacing w:after="0" w:line="240" w:lineRule="auto"/>
        <w:jc w:val="center"/>
        <w:outlineLvl w:val="0"/>
        <w:rPr>
          <w:rFonts w:ascii="Cambria" w:hAnsi="Cambria" w:cs="Tahoma"/>
          <w:sz w:val="24"/>
          <w:szCs w:val="24"/>
        </w:rPr>
      </w:pPr>
      <w:r w:rsidRPr="004E578B">
        <w:rPr>
          <w:rFonts w:ascii="Cambria" w:hAnsi="Cambria" w:cs="Tahoma"/>
          <w:sz w:val="24"/>
          <w:szCs w:val="24"/>
          <w:lang w:val="id-ID"/>
        </w:rPr>
        <w:t>Abstract</w:t>
      </w:r>
      <w:r w:rsidR="00173877" w:rsidRPr="004E578B">
        <w:rPr>
          <w:rFonts w:ascii="Cambria" w:hAnsi="Cambria" w:cs="Tahoma"/>
          <w:sz w:val="24"/>
          <w:szCs w:val="24"/>
          <w:lang w:val="id-ID"/>
        </w:rPr>
        <w:t xml:space="preserve"> </w:t>
      </w:r>
    </w:p>
    <w:p w14:paraId="6860ED36" w14:textId="01ABFB3C" w:rsidR="00E04425" w:rsidRPr="004E578B" w:rsidRDefault="00DC7466" w:rsidP="008303B6">
      <w:pPr>
        <w:spacing w:line="240" w:lineRule="auto"/>
        <w:jc w:val="both"/>
        <w:rPr>
          <w:rFonts w:ascii="Cambria" w:hAnsi="Cambria" w:cs="Times New Roman"/>
          <w:sz w:val="20"/>
          <w:szCs w:val="20"/>
          <w:lang w:val="id-ID"/>
        </w:rPr>
      </w:pPr>
      <w:r w:rsidRPr="00DC7466">
        <w:rPr>
          <w:rFonts w:ascii="Cambria" w:hAnsi="Cambria" w:cs="Times New Roman"/>
          <w:sz w:val="20"/>
          <w:szCs w:val="20"/>
          <w:lang w:val="id-ID"/>
        </w:rPr>
        <w:t>This research is based on the lack of dispute resolution in Sharia economic law available in the Literary Works Literature (LKS) and the lack of assistance from legal practitioners in advancing the field of Sharia economic law and civil in the community. The problem of this research is the extent to which the latest Supreme Court Regulation of the Republic of Indonesia (PERMA RI) has been applied in regulating simple dispute resolution in Indonesian courts. The purpose of the study was to analyze the literature study on PERMA RI which regulates the implementation of simple claims dispute resolution. The research method used is qualitative descriptive with data sources obtained from literature and regulations, as well as reference research and data from the Supreme Court. The results showed that a simple lawsuit process facilitates easier, faster, and low-cost dispute resolution. Th</w:t>
      </w:r>
      <w:r w:rsidR="00955EA0">
        <w:rPr>
          <w:rFonts w:ascii="Cambria" w:hAnsi="Cambria" w:cs="Times New Roman"/>
          <w:sz w:val="20"/>
          <w:szCs w:val="20"/>
          <w:lang w:val="id-ID"/>
        </w:rPr>
        <w:t>is study conclude</w:t>
      </w:r>
      <w:r w:rsidRPr="00DC7466">
        <w:rPr>
          <w:rFonts w:ascii="Cambria" w:hAnsi="Cambria" w:cs="Times New Roman"/>
          <w:sz w:val="20"/>
          <w:szCs w:val="20"/>
          <w:lang w:val="id-ID"/>
        </w:rPr>
        <w:t xml:space="preserve">s that the simple lawsuit process is </w:t>
      </w:r>
      <w:r w:rsidR="00955EA0">
        <w:rPr>
          <w:rFonts w:ascii="Cambria" w:hAnsi="Cambria" w:cs="Times New Roman"/>
          <w:sz w:val="20"/>
          <w:szCs w:val="20"/>
          <w:lang w:val="id-ID"/>
        </w:rPr>
        <w:t>by</w:t>
      </w:r>
      <w:r w:rsidRPr="00DC7466">
        <w:rPr>
          <w:rFonts w:ascii="Cambria" w:hAnsi="Cambria" w:cs="Times New Roman"/>
          <w:sz w:val="20"/>
          <w:szCs w:val="20"/>
          <w:lang w:val="id-ID"/>
        </w:rPr>
        <w:t xml:space="preserve"> standard operating procedures (SOPs) regulated through PERMA RI and related regulations. The latest contribution from this research is a simple lawsuit settlement arrangement through the examination method in court for civil cases with a material value of Rp500,000,000 (five hundred million rupiah) experienced by the applicant, within a maximum of 25 (twenty-five) working days.</w:t>
      </w:r>
      <w:r w:rsidR="00AD2BC0" w:rsidRPr="004E578B">
        <w:rPr>
          <w:rFonts w:ascii="Cambria" w:hAnsi="Cambria" w:cs="Times New Roman"/>
          <w:sz w:val="20"/>
          <w:szCs w:val="20"/>
          <w:lang w:val="id-ID"/>
        </w:rPr>
        <w:t xml:space="preserve"> </w:t>
      </w:r>
    </w:p>
    <w:p w14:paraId="6979262D" w14:textId="18EF6008" w:rsidR="00AD2BC0" w:rsidRDefault="00E04425" w:rsidP="00AD2BC0">
      <w:pPr>
        <w:pStyle w:val="StyleE-JOURNALAbstrakKeywordsBold"/>
        <w:spacing w:before="60" w:after="0"/>
        <w:rPr>
          <w:rFonts w:ascii="Cambria" w:hAnsi="Cambria"/>
          <w:b w:val="0"/>
          <w:i w:val="0"/>
          <w:sz w:val="20"/>
          <w:szCs w:val="20"/>
        </w:rPr>
      </w:pPr>
      <w:r w:rsidRPr="004E578B">
        <w:rPr>
          <w:rFonts w:ascii="Cambria" w:hAnsi="Cambria" w:cs="Palatino"/>
          <w:sz w:val="20"/>
          <w:szCs w:val="20"/>
        </w:rPr>
        <w:t>Keywords</w:t>
      </w:r>
      <w:r w:rsidRPr="004E578B">
        <w:rPr>
          <w:rFonts w:ascii="Cambria" w:hAnsi="Cambria"/>
          <w:sz w:val="20"/>
          <w:szCs w:val="20"/>
        </w:rPr>
        <w:t xml:space="preserve">: </w:t>
      </w:r>
      <w:r w:rsidR="00AD2BC0" w:rsidRPr="004E578B">
        <w:rPr>
          <w:rFonts w:ascii="Cambria" w:hAnsi="Cambria"/>
          <w:sz w:val="20"/>
          <w:szCs w:val="20"/>
        </w:rPr>
        <w:t xml:space="preserve"> </w:t>
      </w:r>
      <w:r w:rsidR="00955EA0">
        <w:rPr>
          <w:rFonts w:ascii="Cambria" w:hAnsi="Cambria"/>
          <w:b w:val="0"/>
          <w:i w:val="0"/>
          <w:sz w:val="20"/>
          <w:szCs w:val="20"/>
          <w:lang w:val="en-ID"/>
        </w:rPr>
        <w:t>S</w:t>
      </w:r>
      <w:r w:rsidR="00DC7466" w:rsidRPr="00DC7466">
        <w:rPr>
          <w:rFonts w:ascii="Cambria" w:hAnsi="Cambria"/>
          <w:b w:val="0"/>
          <w:i w:val="0"/>
          <w:sz w:val="20"/>
          <w:szCs w:val="20"/>
        </w:rPr>
        <w:t xml:space="preserve">imple </w:t>
      </w:r>
      <w:r w:rsidR="00955EA0">
        <w:rPr>
          <w:rFonts w:ascii="Cambria" w:hAnsi="Cambria"/>
          <w:b w:val="0"/>
          <w:i w:val="0"/>
          <w:sz w:val="20"/>
          <w:szCs w:val="20"/>
          <w:lang w:val="en-ID"/>
        </w:rPr>
        <w:t>L</w:t>
      </w:r>
      <w:r w:rsidR="00DC7466" w:rsidRPr="00DC7466">
        <w:rPr>
          <w:rFonts w:ascii="Cambria" w:hAnsi="Cambria"/>
          <w:b w:val="0"/>
          <w:i w:val="0"/>
          <w:sz w:val="20"/>
          <w:szCs w:val="20"/>
        </w:rPr>
        <w:t xml:space="preserve">awsuit; </w:t>
      </w:r>
      <w:r w:rsidR="00955EA0">
        <w:rPr>
          <w:rFonts w:ascii="Cambria" w:hAnsi="Cambria"/>
          <w:b w:val="0"/>
          <w:i w:val="0"/>
          <w:sz w:val="20"/>
          <w:szCs w:val="20"/>
          <w:lang w:val="en-ID"/>
        </w:rPr>
        <w:t>D</w:t>
      </w:r>
      <w:r w:rsidR="00DC7466" w:rsidRPr="00DC7466">
        <w:rPr>
          <w:rFonts w:ascii="Cambria" w:hAnsi="Cambria"/>
          <w:b w:val="0"/>
          <w:i w:val="0"/>
          <w:sz w:val="20"/>
          <w:szCs w:val="20"/>
        </w:rPr>
        <w:t xml:space="preserve">ispute </w:t>
      </w:r>
      <w:r w:rsidR="00955EA0">
        <w:rPr>
          <w:rFonts w:ascii="Cambria" w:hAnsi="Cambria"/>
          <w:b w:val="0"/>
          <w:i w:val="0"/>
          <w:sz w:val="20"/>
          <w:szCs w:val="20"/>
          <w:lang w:val="en-ID"/>
        </w:rPr>
        <w:t>R</w:t>
      </w:r>
      <w:r w:rsidR="00DC7466" w:rsidRPr="00DC7466">
        <w:rPr>
          <w:rFonts w:ascii="Cambria" w:hAnsi="Cambria"/>
          <w:b w:val="0"/>
          <w:i w:val="0"/>
          <w:sz w:val="20"/>
          <w:szCs w:val="20"/>
        </w:rPr>
        <w:t>esolution; Sharia Economic Law.</w:t>
      </w:r>
    </w:p>
    <w:p w14:paraId="074873B0" w14:textId="77777777" w:rsidR="007745DA" w:rsidRPr="004E578B" w:rsidRDefault="007745DA" w:rsidP="00AD2BC0">
      <w:pPr>
        <w:pStyle w:val="StyleE-JOURNALAbstrakKeywordsBold"/>
        <w:spacing w:before="60" w:after="0"/>
        <w:rPr>
          <w:rFonts w:ascii="Cambria" w:hAnsi="Cambria"/>
          <w:b w:val="0"/>
          <w:i w:val="0"/>
          <w:caps/>
          <w:sz w:val="20"/>
          <w:szCs w:val="20"/>
        </w:rPr>
      </w:pPr>
    </w:p>
    <w:p w14:paraId="7AA62F47" w14:textId="1D1E00EB" w:rsidR="00694E8A" w:rsidRPr="004E578B" w:rsidRDefault="00E04425" w:rsidP="006D6989">
      <w:pPr>
        <w:spacing w:after="0" w:line="240" w:lineRule="auto"/>
        <w:jc w:val="center"/>
        <w:outlineLvl w:val="0"/>
        <w:rPr>
          <w:rFonts w:ascii="Cambria" w:hAnsi="Cambria" w:cs="Tahoma"/>
          <w:sz w:val="24"/>
          <w:szCs w:val="24"/>
          <w:lang w:val="id-ID"/>
        </w:rPr>
      </w:pPr>
      <w:r w:rsidRPr="004E578B">
        <w:rPr>
          <w:rFonts w:ascii="Cambria" w:hAnsi="Cambria" w:cs="Tahoma"/>
          <w:sz w:val="24"/>
          <w:szCs w:val="24"/>
          <w:lang w:val="id-ID"/>
        </w:rPr>
        <w:t>Abstrak</w:t>
      </w:r>
      <w:r w:rsidR="00CF2739">
        <w:rPr>
          <w:rFonts w:ascii="Cambria" w:hAnsi="Cambria" w:cs="Tahoma"/>
          <w:sz w:val="24"/>
          <w:szCs w:val="24"/>
          <w:lang w:val="id-ID"/>
        </w:rPr>
        <w:t xml:space="preserve"> </w:t>
      </w:r>
    </w:p>
    <w:p w14:paraId="5A710272" w14:textId="6154D90F" w:rsidR="006D6989" w:rsidRDefault="00DC7466" w:rsidP="006D6989">
      <w:pPr>
        <w:spacing w:after="0" w:line="240" w:lineRule="auto"/>
        <w:jc w:val="both"/>
        <w:rPr>
          <w:rFonts w:ascii="Cambria" w:eastAsia="Times New Roman" w:hAnsi="Cambria" w:cs="Times New Roman"/>
          <w:color w:val="191919"/>
          <w:sz w:val="20"/>
          <w:szCs w:val="20"/>
          <w:lang w:val="id-ID" w:eastAsia="id-ID"/>
        </w:rPr>
      </w:pPr>
      <w:r w:rsidRPr="00DC7466">
        <w:rPr>
          <w:rFonts w:ascii="Cambria" w:eastAsia="Times New Roman" w:hAnsi="Cambria" w:cs="Times New Roman"/>
          <w:color w:val="191919"/>
          <w:sz w:val="20"/>
          <w:szCs w:val="20"/>
          <w:lang w:val="id-ID" w:eastAsia="id-ID"/>
        </w:rPr>
        <w:t xml:space="preserve">Penelitian ini didasari oleh ketidak banyakannya penyelesaian sengketa dalam hukum ekonomi Syariah yang tersedia dalam Literatur Karya Sastra (LKS) dan kurangnya bantuan dari para praktisi hukum dalam memajukan bidang hukum ekonomi Syariah dan keperdataan di masyarakat. Permasalahan penelitian ini adalah sejauh mana Peraturan Mahkamah Agung Republik Indonesia (PERMA RI) terbaru telah diterapkan dalam mengatur penyelesaian sengketa secara sederhana di peradilan Indonesia. Tujuan penelitian adalah untuk menganalisis studi pustaka mengenai PERMA RI yang mengatur implementasi penyelesaian sengketa gugatan sederhana. Metode penelitian yang digunakan adalah deskriptif kualitatif dengan sumber data yang diperoleh dari kepustakaan dan regulasi, serta riset referensi dan data dari Mahkamah Agung. Hasil penelitian menunjukkan bahwa proses gugatan sederhana memfasilitasi penyelesaian sengketa yang lebih mudah, cepat, dan biaya murah. Kesimpulan </w:t>
      </w:r>
      <w:r w:rsidRPr="00DC7466">
        <w:rPr>
          <w:rFonts w:ascii="Cambria" w:eastAsia="Times New Roman" w:hAnsi="Cambria" w:cs="Times New Roman"/>
          <w:color w:val="191919"/>
          <w:sz w:val="20"/>
          <w:szCs w:val="20"/>
          <w:lang w:val="id-ID" w:eastAsia="id-ID"/>
        </w:rPr>
        <w:lastRenderedPageBreak/>
        <w:t>dari penelitian ini adalah bahwa proses gugatan sederhana sesuai dengan standar operasional prosedur (SOP) yang diatur melalui PERMA RI dan regulasi terkait. Kontribusi terbaru dari penelitian ini adalah pengaturan penyelesaian gugatan sederhana melalui metode pemeriksaan di persidangan untuk perkara perdata dengan nilai materiil Rp500.000.000;- (lima ratus juta rupiah) yang dialami oleh pemohon, dalam waktu maksimal 25 (dua puluh lima) hari kerja.</w:t>
      </w:r>
    </w:p>
    <w:p w14:paraId="0F17F543" w14:textId="77777777" w:rsidR="00DC7466" w:rsidRPr="00DC7466" w:rsidRDefault="00DC7466" w:rsidP="006D6989">
      <w:pPr>
        <w:spacing w:after="0" w:line="240" w:lineRule="auto"/>
        <w:jc w:val="both"/>
        <w:rPr>
          <w:rFonts w:ascii="Cambria" w:hAnsi="Cambria" w:cs="Times New Roman"/>
          <w:sz w:val="20"/>
          <w:szCs w:val="20"/>
          <w:lang w:val="id-ID"/>
        </w:rPr>
      </w:pPr>
    </w:p>
    <w:p w14:paraId="55D8B1F5" w14:textId="21AB9ADB" w:rsidR="00747EFC" w:rsidRDefault="002B754F" w:rsidP="00DC7466">
      <w:pPr>
        <w:pStyle w:val="E-JOURNALAbstrakKeywords"/>
        <w:spacing w:before="0"/>
        <w:rPr>
          <w:rFonts w:ascii="Cambria" w:hAnsi="Cambria"/>
          <w:sz w:val="20"/>
          <w:szCs w:val="20"/>
        </w:rPr>
      </w:pPr>
      <w:r w:rsidRPr="004E578B">
        <w:rPr>
          <w:rFonts w:ascii="Cambria" w:hAnsi="Cambria" w:cs="Palatino"/>
          <w:b/>
          <w:bCs/>
          <w:sz w:val="20"/>
          <w:szCs w:val="20"/>
        </w:rPr>
        <w:t>Kata Kunci</w:t>
      </w:r>
      <w:r w:rsidRPr="004E578B">
        <w:rPr>
          <w:rFonts w:ascii="Cambria" w:hAnsi="Cambria"/>
          <w:sz w:val="20"/>
          <w:szCs w:val="20"/>
        </w:rPr>
        <w:t xml:space="preserve">: </w:t>
      </w:r>
      <w:r w:rsidR="00102CDC">
        <w:rPr>
          <w:rFonts w:ascii="Cambria" w:hAnsi="Cambria"/>
          <w:i w:val="0"/>
          <w:sz w:val="20"/>
          <w:szCs w:val="20"/>
          <w:lang w:val="en-ID"/>
        </w:rPr>
        <w:t>G</w:t>
      </w:r>
      <w:r w:rsidR="00DC7466" w:rsidRPr="00DC7466">
        <w:rPr>
          <w:rFonts w:ascii="Cambria" w:hAnsi="Cambria"/>
          <w:i w:val="0"/>
          <w:sz w:val="20"/>
          <w:szCs w:val="20"/>
        </w:rPr>
        <w:t xml:space="preserve">ugatan </w:t>
      </w:r>
      <w:r w:rsidR="00102CDC">
        <w:rPr>
          <w:rFonts w:ascii="Cambria" w:hAnsi="Cambria"/>
          <w:i w:val="0"/>
          <w:sz w:val="20"/>
          <w:szCs w:val="20"/>
          <w:lang w:val="en-ID"/>
        </w:rPr>
        <w:t>S</w:t>
      </w:r>
      <w:r w:rsidR="00DC7466" w:rsidRPr="00DC7466">
        <w:rPr>
          <w:rFonts w:ascii="Cambria" w:hAnsi="Cambria"/>
          <w:i w:val="0"/>
          <w:sz w:val="20"/>
          <w:szCs w:val="20"/>
        </w:rPr>
        <w:t xml:space="preserve">ederhana; </w:t>
      </w:r>
      <w:r w:rsidR="00102CDC">
        <w:rPr>
          <w:rFonts w:ascii="Cambria" w:hAnsi="Cambria"/>
          <w:i w:val="0"/>
          <w:sz w:val="20"/>
          <w:szCs w:val="20"/>
          <w:lang w:val="en-ID"/>
        </w:rPr>
        <w:t>P</w:t>
      </w:r>
      <w:r w:rsidR="00DC7466" w:rsidRPr="00DC7466">
        <w:rPr>
          <w:rFonts w:ascii="Cambria" w:hAnsi="Cambria"/>
          <w:i w:val="0"/>
          <w:sz w:val="20"/>
          <w:szCs w:val="20"/>
        </w:rPr>
        <w:t xml:space="preserve">enyelesaian </w:t>
      </w:r>
      <w:r w:rsidR="00102CDC">
        <w:rPr>
          <w:rFonts w:ascii="Cambria" w:hAnsi="Cambria"/>
          <w:i w:val="0"/>
          <w:sz w:val="20"/>
          <w:szCs w:val="20"/>
          <w:lang w:val="en-ID"/>
        </w:rPr>
        <w:t>S</w:t>
      </w:r>
      <w:r w:rsidR="00DC7466" w:rsidRPr="00DC7466">
        <w:rPr>
          <w:rFonts w:ascii="Cambria" w:hAnsi="Cambria"/>
          <w:i w:val="0"/>
          <w:sz w:val="20"/>
          <w:szCs w:val="20"/>
        </w:rPr>
        <w:t xml:space="preserve">engketa; </w:t>
      </w:r>
      <w:r w:rsidR="00102CDC">
        <w:rPr>
          <w:rFonts w:ascii="Cambria" w:hAnsi="Cambria"/>
          <w:i w:val="0"/>
          <w:sz w:val="20"/>
          <w:szCs w:val="20"/>
          <w:lang w:val="en-ID"/>
        </w:rPr>
        <w:t>H</w:t>
      </w:r>
      <w:r w:rsidR="00DC7466" w:rsidRPr="00DC7466">
        <w:rPr>
          <w:rFonts w:ascii="Cambria" w:hAnsi="Cambria"/>
          <w:i w:val="0"/>
          <w:sz w:val="20"/>
          <w:szCs w:val="20"/>
        </w:rPr>
        <w:t xml:space="preserve">ukum </w:t>
      </w:r>
      <w:r w:rsidR="00102CDC">
        <w:rPr>
          <w:rFonts w:ascii="Cambria" w:hAnsi="Cambria"/>
          <w:i w:val="0"/>
          <w:sz w:val="20"/>
          <w:szCs w:val="20"/>
          <w:lang w:val="en-ID"/>
        </w:rPr>
        <w:t>E</w:t>
      </w:r>
      <w:r w:rsidR="00DC7466" w:rsidRPr="00DC7466">
        <w:rPr>
          <w:rFonts w:ascii="Cambria" w:hAnsi="Cambria"/>
          <w:i w:val="0"/>
          <w:sz w:val="20"/>
          <w:szCs w:val="20"/>
        </w:rPr>
        <w:t xml:space="preserve">konomi </w:t>
      </w:r>
      <w:r w:rsidR="00102CDC">
        <w:rPr>
          <w:rFonts w:ascii="Cambria" w:hAnsi="Cambria"/>
          <w:i w:val="0"/>
          <w:sz w:val="20"/>
          <w:szCs w:val="20"/>
          <w:lang w:val="en-ID"/>
        </w:rPr>
        <w:t>S</w:t>
      </w:r>
      <w:r w:rsidR="00DC7466" w:rsidRPr="00DC7466">
        <w:rPr>
          <w:rFonts w:ascii="Cambria" w:hAnsi="Cambria"/>
          <w:i w:val="0"/>
          <w:sz w:val="20"/>
          <w:szCs w:val="20"/>
        </w:rPr>
        <w:t>yariah.</w:t>
      </w:r>
    </w:p>
    <w:p w14:paraId="2E60D05C" w14:textId="53262C11" w:rsidR="008D3A3F" w:rsidRDefault="008D3A3F" w:rsidP="008D3A3F">
      <w:pPr>
        <w:spacing w:after="0" w:line="240" w:lineRule="auto"/>
        <w:jc w:val="center"/>
        <w:rPr>
          <w:rFonts w:ascii="Cambria" w:hAnsi="Cambria"/>
          <w:sz w:val="20"/>
          <w:szCs w:val="20"/>
          <w:lang w:val="id-ID"/>
        </w:rPr>
      </w:pPr>
    </w:p>
    <w:p w14:paraId="48AEF585" w14:textId="4DDD3233" w:rsidR="007E3184" w:rsidRPr="004E578B" w:rsidRDefault="00CF33A6" w:rsidP="00173877">
      <w:pPr>
        <w:spacing w:after="60" w:line="240" w:lineRule="auto"/>
        <w:jc w:val="both"/>
        <w:outlineLvl w:val="0"/>
        <w:rPr>
          <w:rFonts w:ascii="Cambria" w:hAnsi="Cambria" w:cs="Palatino"/>
          <w:b/>
          <w:bCs/>
          <w:sz w:val="24"/>
          <w:szCs w:val="24"/>
          <w:lang w:val="id-ID"/>
        </w:rPr>
      </w:pPr>
      <w:r w:rsidRPr="004E578B">
        <w:rPr>
          <w:rFonts w:ascii="Cambria" w:hAnsi="Cambria" w:cs="Palatino"/>
          <w:b/>
          <w:bCs/>
          <w:sz w:val="24"/>
          <w:szCs w:val="24"/>
        </w:rPr>
        <w:t xml:space="preserve">Introduction </w:t>
      </w:r>
    </w:p>
    <w:p w14:paraId="5D06C212" w14:textId="466C7BC8" w:rsidR="00DC7466" w:rsidRPr="00DC7466" w:rsidRDefault="00DC7466" w:rsidP="00B6232B">
      <w:pPr>
        <w:spacing w:after="0" w:line="240" w:lineRule="auto"/>
        <w:ind w:firstLine="567"/>
        <w:jc w:val="both"/>
        <w:rPr>
          <w:rFonts w:ascii="Palatino Linotype" w:hAnsi="Palatino Linotype" w:cstheme="majorBidi"/>
          <w:lang w:val="fr-FR"/>
        </w:rPr>
      </w:pPr>
      <w:r w:rsidRPr="00DC7466">
        <w:rPr>
          <w:rFonts w:ascii="Palatino Linotype" w:hAnsi="Palatino Linotype" w:cstheme="majorBidi"/>
          <w:lang w:val="en"/>
        </w:rPr>
        <w:t xml:space="preserve">The development of financial and legal products in Islamic financial institutions (LKS) in the field of Islamic economics, especially in the field of agreements that use </w:t>
      </w:r>
      <w:r w:rsidR="00102CDC">
        <w:rPr>
          <w:rFonts w:ascii="Palatino Linotype" w:hAnsi="Palatino Linotype" w:cstheme="majorBidi"/>
          <w:lang w:val="en"/>
        </w:rPr>
        <w:t>S</w:t>
      </w:r>
      <w:r w:rsidRPr="00DC7466">
        <w:rPr>
          <w:rFonts w:ascii="Palatino Linotype" w:hAnsi="Palatino Linotype" w:cstheme="majorBidi"/>
          <w:lang w:val="en"/>
        </w:rPr>
        <w:t xml:space="preserve">haria foundations today is experiencing significant growth. Along with its development in the substance of the contract, there must be a solution to </w:t>
      </w:r>
      <w:r w:rsidRPr="00DC7466">
        <w:rPr>
          <w:rFonts w:ascii="Palatino Linotype" w:hAnsi="Palatino Linotype" w:cstheme="majorBidi"/>
          <w:i/>
          <w:lang w:val="en"/>
        </w:rPr>
        <w:t xml:space="preserve">cover </w:t>
      </w:r>
      <w:r w:rsidRPr="00DC7466">
        <w:rPr>
          <w:rFonts w:ascii="Palatino Linotype" w:hAnsi="Palatino Linotype" w:cstheme="majorBidi"/>
          <w:lang w:val="en"/>
        </w:rPr>
        <w:t>how to resolve disputes</w:t>
      </w:r>
      <w:r w:rsidRPr="00DC7466">
        <w:rPr>
          <w:rFonts w:ascii="Palatino Linotype" w:hAnsi="Palatino Linotype" w:cstheme="majorBidi"/>
          <w:i/>
          <w:lang w:val="en"/>
        </w:rPr>
        <w:t xml:space="preserve"> (dispute resolution</w:t>
      </w:r>
      <w:r w:rsidRPr="00DC7466">
        <w:rPr>
          <w:rFonts w:ascii="Palatino Linotype" w:hAnsi="Palatino Linotype" w:cstheme="majorBidi"/>
          <w:lang w:val="en"/>
        </w:rPr>
        <w:t>) if in the future there are cases and/or problems in the LKS. In this regard, both in the judiciary and outside the court, LKS needs to be supported by</w:t>
      </w:r>
      <w:r w:rsidRPr="00DC7466">
        <w:rPr>
          <w:rFonts w:ascii="Palatino Linotype" w:hAnsi="Palatino Linotype" w:cstheme="majorBidi"/>
          <w:i/>
          <w:lang w:val="en"/>
        </w:rPr>
        <w:t xml:space="preserve"> </w:t>
      </w:r>
      <w:r w:rsidRPr="00DC7466">
        <w:rPr>
          <w:rFonts w:ascii="Palatino Linotype" w:hAnsi="Palatino Linotype" w:cstheme="majorBidi"/>
          <w:lang w:val="en"/>
        </w:rPr>
        <w:t>qualified human resources (SDI) skills in their fields, especially in handling sharia economic law cases.</w:t>
      </w:r>
    </w:p>
    <w:p w14:paraId="675003C1" w14:textId="7BA7B8E0" w:rsidR="00DC7466" w:rsidRPr="00DC7466" w:rsidRDefault="00DC7466" w:rsidP="00B6232B">
      <w:pPr>
        <w:spacing w:after="0" w:line="240" w:lineRule="auto"/>
        <w:ind w:firstLine="567"/>
        <w:jc w:val="both"/>
        <w:rPr>
          <w:rFonts w:ascii="Palatino Linotype" w:hAnsi="Palatino Linotype" w:cstheme="majorBidi"/>
          <w:lang w:val="fr-FR"/>
        </w:rPr>
      </w:pPr>
      <w:r w:rsidRPr="00DC7466">
        <w:rPr>
          <w:rFonts w:ascii="Palatino Linotype" w:hAnsi="Palatino Linotype" w:cstheme="majorBidi"/>
          <w:lang w:val="en"/>
        </w:rPr>
        <w:t xml:space="preserve">In line with the development of a series of Sharia economic laws, the rise of community transactions in LKS causes cases among Sharia economic actors, especially cases among parties who are under contract using </w:t>
      </w:r>
      <w:r w:rsidR="00102CDC">
        <w:rPr>
          <w:rFonts w:ascii="Palatino Linotype" w:hAnsi="Palatino Linotype" w:cstheme="majorBidi"/>
          <w:lang w:val="en"/>
        </w:rPr>
        <w:t>S</w:t>
      </w:r>
      <w:r w:rsidRPr="00DC7466">
        <w:rPr>
          <w:rFonts w:ascii="Palatino Linotype" w:hAnsi="Palatino Linotype" w:cstheme="majorBidi"/>
          <w:lang w:val="en"/>
        </w:rPr>
        <w:t xml:space="preserve">haria provisions.  The development of law in the field of Islamic economics and civil society requires easier, faster methods of handling, and cheaper prices, especially in an easier set of laws.  Regulations contained in Indonesia are modernized from </w:t>
      </w:r>
      <w:proofErr w:type="spellStart"/>
      <w:r w:rsidRPr="00DC7466">
        <w:rPr>
          <w:rFonts w:ascii="Palatino Linotype" w:hAnsi="Palatino Linotype" w:cstheme="majorBidi"/>
          <w:i/>
          <w:lang w:val="en"/>
        </w:rPr>
        <w:t>Herzien</w:t>
      </w:r>
      <w:proofErr w:type="spellEnd"/>
      <w:r w:rsidRPr="00DC7466">
        <w:rPr>
          <w:rFonts w:ascii="Palatino Linotype" w:hAnsi="Palatino Linotype" w:cstheme="majorBidi"/>
          <w:i/>
          <w:lang w:val="en"/>
        </w:rPr>
        <w:t xml:space="preserve"> </w:t>
      </w:r>
      <w:proofErr w:type="spellStart"/>
      <w:r w:rsidRPr="00DC7466">
        <w:rPr>
          <w:rFonts w:ascii="Palatino Linotype" w:hAnsi="Palatino Linotype" w:cstheme="majorBidi"/>
          <w:i/>
          <w:lang w:val="en"/>
        </w:rPr>
        <w:t>Inlandsch</w:t>
      </w:r>
      <w:proofErr w:type="spellEnd"/>
      <w:r w:rsidRPr="00DC7466">
        <w:rPr>
          <w:rFonts w:ascii="Palatino Linotype" w:hAnsi="Palatino Linotype" w:cstheme="majorBidi"/>
          <w:i/>
          <w:lang w:val="en"/>
        </w:rPr>
        <w:t xml:space="preserve"> </w:t>
      </w:r>
      <w:proofErr w:type="spellStart"/>
      <w:r w:rsidRPr="00DC7466">
        <w:rPr>
          <w:rFonts w:ascii="Palatino Linotype" w:hAnsi="Palatino Linotype" w:cstheme="majorBidi"/>
          <w:i/>
          <w:lang w:val="en"/>
        </w:rPr>
        <w:t>Reglement</w:t>
      </w:r>
      <w:proofErr w:type="spellEnd"/>
      <w:r w:rsidRPr="00DC7466">
        <w:rPr>
          <w:rFonts w:ascii="Palatino Linotype" w:hAnsi="Palatino Linotype" w:cstheme="majorBidi"/>
          <w:i/>
          <w:lang w:val="en"/>
        </w:rPr>
        <w:t xml:space="preserve"> (HIR), </w:t>
      </w:r>
      <w:proofErr w:type="spellStart"/>
      <w:r w:rsidRPr="00DC7466">
        <w:rPr>
          <w:rFonts w:ascii="Palatino Linotype" w:hAnsi="Palatino Linotype" w:cstheme="majorBidi"/>
          <w:i/>
          <w:lang w:val="en"/>
        </w:rPr>
        <w:t>Rechtreglement</w:t>
      </w:r>
      <w:proofErr w:type="spellEnd"/>
      <w:r w:rsidRPr="00DC7466">
        <w:rPr>
          <w:rFonts w:ascii="Palatino Linotype" w:hAnsi="Palatino Linotype" w:cstheme="majorBidi"/>
          <w:i/>
          <w:lang w:val="en"/>
        </w:rPr>
        <w:t xml:space="preserve"> </w:t>
      </w:r>
      <w:proofErr w:type="spellStart"/>
      <w:r w:rsidRPr="00DC7466">
        <w:rPr>
          <w:rFonts w:ascii="Palatino Linotype" w:hAnsi="Palatino Linotype" w:cstheme="majorBidi"/>
          <w:i/>
          <w:lang w:val="en"/>
        </w:rPr>
        <w:t>Voor</w:t>
      </w:r>
      <w:proofErr w:type="spellEnd"/>
      <w:r w:rsidRPr="00DC7466">
        <w:rPr>
          <w:rFonts w:ascii="Palatino Linotype" w:hAnsi="Palatino Linotype" w:cstheme="majorBidi"/>
          <w:i/>
          <w:lang w:val="en"/>
        </w:rPr>
        <w:t xml:space="preserve"> de </w:t>
      </w:r>
      <w:proofErr w:type="spellStart"/>
      <w:r w:rsidRPr="00DC7466">
        <w:rPr>
          <w:rFonts w:ascii="Palatino Linotype" w:hAnsi="Palatino Linotype" w:cstheme="majorBidi"/>
          <w:i/>
          <w:lang w:val="en"/>
        </w:rPr>
        <w:t>Buitengewesten</w:t>
      </w:r>
      <w:proofErr w:type="spellEnd"/>
      <w:r w:rsidRPr="00DC7466">
        <w:rPr>
          <w:rFonts w:ascii="Palatino Linotype" w:hAnsi="Palatino Linotype" w:cstheme="majorBidi"/>
          <w:i/>
          <w:lang w:val="en"/>
        </w:rPr>
        <w:t xml:space="preserve"> (</w:t>
      </w:r>
      <w:proofErr w:type="spellStart"/>
      <w:r w:rsidRPr="00DC7466">
        <w:rPr>
          <w:rFonts w:ascii="Palatino Linotype" w:hAnsi="Palatino Linotype" w:cstheme="majorBidi"/>
          <w:i/>
          <w:lang w:val="en"/>
        </w:rPr>
        <w:t>RBg</w:t>
      </w:r>
      <w:proofErr w:type="spellEnd"/>
      <w:r w:rsidRPr="00DC7466">
        <w:rPr>
          <w:rFonts w:ascii="Palatino Linotype" w:hAnsi="Palatino Linotype" w:cstheme="majorBidi"/>
          <w:i/>
          <w:lang w:val="en"/>
        </w:rPr>
        <w:t>),</w:t>
      </w:r>
      <w:r w:rsidRPr="00DC7466">
        <w:rPr>
          <w:rFonts w:ascii="Palatino Linotype" w:hAnsi="Palatino Linotype" w:cstheme="majorBidi"/>
          <w:lang w:val="en"/>
        </w:rPr>
        <w:t xml:space="preserve"> not distinguished by a review flow between material object value of high or low value, therefore the handling of the case allegedly took quite a long time</w:t>
      </w:r>
      <w:r>
        <w:rPr>
          <w:rFonts w:ascii="Palatino Linotype" w:hAnsi="Palatino Linotype" w:cstheme="majorBidi"/>
          <w:lang w:val="en"/>
        </w:rPr>
        <w:t>.</w:t>
      </w:r>
      <w:r w:rsidRPr="00DC7466">
        <w:rPr>
          <w:rStyle w:val="FootnoteReference"/>
          <w:rFonts w:ascii="Palatino Linotype" w:hAnsi="Palatino Linotype" w:cstheme="majorBidi"/>
          <w:lang w:val="en"/>
        </w:rPr>
        <w:footnoteReference w:id="1"/>
      </w:r>
    </w:p>
    <w:p w14:paraId="1434A781" w14:textId="4FDC56A0" w:rsidR="00173877" w:rsidRPr="009651BB" w:rsidRDefault="00DC7466" w:rsidP="009651BB">
      <w:pPr>
        <w:spacing w:after="0" w:line="240" w:lineRule="auto"/>
        <w:jc w:val="both"/>
        <w:rPr>
          <w:rFonts w:ascii="Palatino Linotype" w:hAnsi="Palatino Linotype" w:cstheme="majorBidi"/>
          <w:lang w:val="en"/>
        </w:rPr>
      </w:pPr>
      <w:r w:rsidRPr="00DC7466">
        <w:rPr>
          <w:rFonts w:ascii="Palatino Linotype" w:hAnsi="Palatino Linotype" w:cstheme="majorBidi"/>
          <w:lang w:val="en"/>
        </w:rPr>
        <w:t>The litigation dimension of religious justice is the judicial area under the Supreme Court regarding the essence of independent judicial authority in carrying out the judiciary to maintain law and justice.  The birth of Law No. 3 of 2006 concerning the Improvement of Law No. 7 of 1989 concerning Religious Justice, has ushered in major improvements to the existence of the judiciary today.  In addition to the path of litigation,</w:t>
      </w:r>
      <w:r w:rsidRPr="00DC7466">
        <w:rPr>
          <w:rStyle w:val="FootnoteReference"/>
          <w:rFonts w:ascii="Palatino Linotype" w:hAnsi="Palatino Linotype" w:cstheme="majorBidi"/>
          <w:lang w:val="en"/>
        </w:rPr>
        <w:footnoteReference w:id="2"/>
      </w:r>
      <w:r w:rsidRPr="00DC7466">
        <w:rPr>
          <w:rFonts w:ascii="Palatino Linotype" w:hAnsi="Palatino Linotype" w:cstheme="majorBidi"/>
          <w:lang w:val="en"/>
        </w:rPr>
        <w:t xml:space="preserve"> handling cases through arbitration and alternative dispute handling is prioritized in the countermeasures case in LKS whose legality has been confirmed by the birth of Law Number 30 of 1999 concerning Arbitration &amp; Alternative Dispute Resolution (APS). Sociologically, the role is important, because, handling civil cases besides being able to be recommended to the general judiciary, open possibilities are recommended with arbitration and alternative </w:t>
      </w:r>
      <w:r w:rsidRPr="00DC7466">
        <w:rPr>
          <w:rFonts w:ascii="Palatino Linotype" w:hAnsi="Palatino Linotype" w:cstheme="majorBidi"/>
          <w:lang w:val="en"/>
        </w:rPr>
        <w:lastRenderedPageBreak/>
        <w:t>dispute handling.</w:t>
      </w:r>
      <w:r w:rsidRPr="00DC7466">
        <w:rPr>
          <w:rStyle w:val="FootnoteReference"/>
          <w:rFonts w:ascii="Palatino Linotype" w:hAnsi="Palatino Linotype" w:cstheme="majorBidi"/>
          <w:lang w:val="en"/>
        </w:rPr>
        <w:footnoteReference w:id="3"/>
      </w:r>
      <w:r w:rsidRPr="00DC7466">
        <w:rPr>
          <w:rFonts w:ascii="Palatino Linotype" w:hAnsi="Palatino Linotype" w:cstheme="majorBidi"/>
          <w:color w:val="000000"/>
          <w:lang w:val="en"/>
        </w:rPr>
        <w:t xml:space="preserve"> </w:t>
      </w:r>
      <w:r w:rsidR="009651BB" w:rsidRPr="00665D4D">
        <w:rPr>
          <w:rFonts w:ascii="Palatino Linotype" w:hAnsi="Palatino Linotype" w:cstheme="majorBidi"/>
        </w:rPr>
        <w:t xml:space="preserve">The Government, Legislation, Regulators, and Politics of Sharia Economic Law, each affiliated </w:t>
      </w:r>
      <w:r w:rsidR="00102CDC">
        <w:rPr>
          <w:rFonts w:ascii="Palatino Linotype" w:hAnsi="Palatino Linotype" w:cstheme="majorBidi"/>
        </w:rPr>
        <w:t xml:space="preserve">with </w:t>
      </w:r>
      <w:r w:rsidR="009651BB" w:rsidRPr="00665D4D">
        <w:rPr>
          <w:rFonts w:ascii="Palatino Linotype" w:hAnsi="Palatino Linotype" w:cstheme="majorBidi"/>
        </w:rPr>
        <w:t>and implicating judicial and legal policies in force in Indonesia</w:t>
      </w:r>
      <w:r w:rsidR="009651BB" w:rsidRPr="00665D4D">
        <w:rPr>
          <w:rFonts w:ascii="Palatino Linotype" w:hAnsi="Palatino Linotype" w:cstheme="majorBidi"/>
          <w:lang w:val="en"/>
        </w:rPr>
        <w:t>.</w:t>
      </w:r>
      <w:r w:rsidR="009651BB">
        <w:rPr>
          <w:rStyle w:val="FootnoteReference"/>
          <w:rFonts w:ascii="Palatino Linotype" w:hAnsi="Palatino Linotype" w:cstheme="majorBidi"/>
          <w:lang w:val="en"/>
        </w:rPr>
        <w:footnoteReference w:id="4"/>
      </w:r>
      <w:r w:rsidR="009651BB">
        <w:rPr>
          <w:rFonts w:ascii="Palatino Linotype" w:hAnsi="Palatino Linotype" w:cstheme="majorBidi"/>
          <w:lang w:val="en"/>
        </w:rPr>
        <w:t xml:space="preserve"> </w:t>
      </w:r>
      <w:r w:rsidR="009651BB">
        <w:rPr>
          <w:rFonts w:ascii="Palatino Linotype" w:hAnsi="Palatino Linotype" w:cstheme="majorBidi"/>
        </w:rPr>
        <w:t xml:space="preserve">In Ani </w:t>
      </w:r>
      <w:proofErr w:type="spellStart"/>
      <w:r w:rsidR="009651BB">
        <w:rPr>
          <w:rFonts w:ascii="Palatino Linotype" w:hAnsi="Palatino Linotype" w:cstheme="majorBidi"/>
        </w:rPr>
        <w:t>Yunita's</w:t>
      </w:r>
      <w:proofErr w:type="spellEnd"/>
      <w:r w:rsidR="009651BB">
        <w:rPr>
          <w:rFonts w:ascii="Palatino Linotype" w:hAnsi="Palatino Linotype" w:cstheme="majorBidi"/>
        </w:rPr>
        <w:t xml:space="preserve"> opinion, efforts to increase public understanding of the existence of </w:t>
      </w:r>
      <w:proofErr w:type="spellStart"/>
      <w:r w:rsidR="009651BB">
        <w:rPr>
          <w:rFonts w:ascii="Palatino Linotype" w:hAnsi="Palatino Linotype" w:cstheme="majorBidi"/>
        </w:rPr>
        <w:t>Basyarnas</w:t>
      </w:r>
      <w:proofErr w:type="spellEnd"/>
      <w:r w:rsidR="009651BB">
        <w:rPr>
          <w:rFonts w:ascii="Palatino Linotype" w:hAnsi="Palatino Linotype" w:cstheme="majorBidi"/>
        </w:rPr>
        <w:t xml:space="preserve"> must continue to be socialized through training and legal counseling, while community cultural factors are also key factors that affect the effectiveness of case resolution in </w:t>
      </w:r>
      <w:proofErr w:type="spellStart"/>
      <w:r w:rsidR="009651BB">
        <w:rPr>
          <w:rFonts w:ascii="Palatino Linotype" w:hAnsi="Palatino Linotype" w:cstheme="majorBidi"/>
        </w:rPr>
        <w:t>Basyarnas</w:t>
      </w:r>
      <w:proofErr w:type="spellEnd"/>
      <w:r w:rsidR="009651BB">
        <w:rPr>
          <w:rFonts w:ascii="Palatino Linotype" w:hAnsi="Palatino Linotype" w:cstheme="majorBidi"/>
        </w:rPr>
        <w:t>.</w:t>
      </w:r>
      <w:r w:rsidR="009651BB">
        <w:rPr>
          <w:rStyle w:val="FootnoteReference"/>
          <w:rFonts w:ascii="Palatino Linotype" w:hAnsi="Palatino Linotype" w:cstheme="majorBidi"/>
        </w:rPr>
        <w:footnoteReference w:id="5"/>
      </w:r>
      <w:r w:rsidR="009651BB">
        <w:rPr>
          <w:rFonts w:ascii="Palatino Linotype" w:hAnsi="Palatino Linotype" w:cstheme="majorBidi"/>
        </w:rPr>
        <w:t xml:space="preserve"> According to </w:t>
      </w:r>
      <w:proofErr w:type="spellStart"/>
      <w:r w:rsidR="009651BB">
        <w:rPr>
          <w:rFonts w:ascii="Palatino Linotype" w:hAnsi="Palatino Linotype" w:cstheme="majorBidi"/>
        </w:rPr>
        <w:t>Yoghie</w:t>
      </w:r>
      <w:proofErr w:type="spellEnd"/>
      <w:r w:rsidR="009651BB">
        <w:rPr>
          <w:rFonts w:ascii="Palatino Linotype" w:hAnsi="Palatino Linotype" w:cstheme="majorBidi"/>
        </w:rPr>
        <w:t xml:space="preserve"> </w:t>
      </w:r>
      <w:proofErr w:type="spellStart"/>
      <w:r w:rsidR="009651BB">
        <w:rPr>
          <w:rFonts w:ascii="Palatino Linotype" w:hAnsi="Palatino Linotype" w:cstheme="majorBidi"/>
        </w:rPr>
        <w:t>Arief</w:t>
      </w:r>
      <w:proofErr w:type="spellEnd"/>
      <w:r w:rsidR="009651BB">
        <w:rPr>
          <w:rFonts w:ascii="Palatino Linotype" w:hAnsi="Palatino Linotype" w:cstheme="majorBidi"/>
        </w:rPr>
        <w:t xml:space="preserve"> Susanto's research, dispute resolution in the Islamic economy still involves processes that are not </w:t>
      </w:r>
      <w:r w:rsidR="00102CDC">
        <w:rPr>
          <w:rFonts w:ascii="Palatino Linotype" w:hAnsi="Palatino Linotype" w:cstheme="majorBidi"/>
        </w:rPr>
        <w:t>by</w:t>
      </w:r>
      <w:r w:rsidR="009651BB">
        <w:rPr>
          <w:rFonts w:ascii="Palatino Linotype" w:hAnsi="Palatino Linotype" w:cstheme="majorBidi"/>
        </w:rPr>
        <w:t xml:space="preserve"> its principles, such as execution processes that do not meet the principles of justice and honesty, as well as examination times that exceed 25 days, which are contrary to the principle of responsibility.</w:t>
      </w:r>
      <w:r w:rsidR="009651BB">
        <w:rPr>
          <w:rStyle w:val="FootnoteReference"/>
          <w:rFonts w:ascii="Palatino Linotype" w:hAnsi="Palatino Linotype" w:cstheme="majorBidi"/>
          <w:lang w:val="en"/>
        </w:rPr>
        <w:footnoteReference w:id="6"/>
      </w:r>
      <w:r w:rsidR="009651BB">
        <w:rPr>
          <w:rFonts w:ascii="Palatino Linotype" w:hAnsi="Palatino Linotype" w:cstheme="majorBidi"/>
          <w:lang w:val="en"/>
        </w:rPr>
        <w:t xml:space="preserve"> </w:t>
      </w:r>
      <w:r w:rsidR="00D50752">
        <w:rPr>
          <w:rFonts w:ascii="Palatino Linotype" w:hAnsi="Palatino Linotype"/>
          <w:color w:val="000000"/>
          <w:lang w:val="en"/>
        </w:rPr>
        <w:t>S</w:t>
      </w:r>
      <w:r w:rsidRPr="00DC7466">
        <w:rPr>
          <w:rFonts w:ascii="Palatino Linotype" w:hAnsi="Palatino Linotype" w:cstheme="majorBidi"/>
          <w:color w:val="000000"/>
          <w:lang w:val="en"/>
        </w:rPr>
        <w:t xml:space="preserve">tudying the general </w:t>
      </w:r>
      <w:r w:rsidRPr="00DC7466">
        <w:rPr>
          <w:rFonts w:ascii="Palatino Linotype" w:hAnsi="Palatino Linotype" w:cstheme="majorBidi"/>
          <w:lang w:val="en"/>
        </w:rPr>
        <w:t>picture</w:t>
      </w:r>
      <w:r w:rsidRPr="00DC7466">
        <w:rPr>
          <w:rFonts w:ascii="Palatino Linotype" w:hAnsi="Palatino Linotype" w:cstheme="majorBidi"/>
          <w:color w:val="000000"/>
          <w:lang w:val="en"/>
        </w:rPr>
        <w:t>, of course, becomes important and relevant to be studied, especially regarding the implementation of</w:t>
      </w:r>
      <w:r w:rsidRPr="00DC7466">
        <w:rPr>
          <w:rFonts w:ascii="Palatino Linotype" w:hAnsi="Palatino Linotype" w:cstheme="majorBidi"/>
          <w:lang w:val="en"/>
        </w:rPr>
        <w:t xml:space="preserve"> </w:t>
      </w:r>
      <w:r w:rsidRPr="00DC7466">
        <w:rPr>
          <w:rFonts w:ascii="Palatino Linotype" w:hAnsi="Palatino Linotype" w:cstheme="majorBidi"/>
          <w:color w:val="000000"/>
          <w:lang w:val="en"/>
        </w:rPr>
        <w:t>easy lawsuits regarding the resolution</w:t>
      </w:r>
      <w:r w:rsidRPr="00DC7466">
        <w:rPr>
          <w:rFonts w:ascii="Palatino Linotype" w:hAnsi="Palatino Linotype" w:cstheme="majorBidi"/>
          <w:lang w:val="en"/>
        </w:rPr>
        <w:t xml:space="preserve"> of </w:t>
      </w:r>
      <w:r w:rsidR="00102CDC">
        <w:rPr>
          <w:rFonts w:ascii="Palatino Linotype" w:hAnsi="Palatino Linotype" w:cstheme="majorBidi"/>
          <w:color w:val="000000"/>
          <w:lang w:val="en"/>
        </w:rPr>
        <w:t>S</w:t>
      </w:r>
      <w:r w:rsidRPr="00DC7466">
        <w:rPr>
          <w:rFonts w:ascii="Palatino Linotype" w:hAnsi="Palatino Linotype" w:cstheme="majorBidi"/>
          <w:color w:val="000000"/>
          <w:lang w:val="en"/>
        </w:rPr>
        <w:t>haria economic law disputes</w:t>
      </w:r>
      <w:r w:rsidRPr="00DC7466">
        <w:rPr>
          <w:rFonts w:ascii="Palatino Linotype" w:hAnsi="Palatino Linotype" w:cstheme="majorBidi"/>
          <w:lang w:val="en"/>
        </w:rPr>
        <w:t xml:space="preserve"> </w:t>
      </w:r>
      <w:r w:rsidRPr="00DC7466">
        <w:rPr>
          <w:rFonts w:ascii="Palatino Linotype" w:hAnsi="Palatino Linotype" w:cstheme="majorBidi"/>
          <w:color w:val="000000"/>
          <w:lang w:val="en"/>
        </w:rPr>
        <w:t xml:space="preserve">and </w:t>
      </w:r>
      <w:r w:rsidRPr="00DC7466">
        <w:rPr>
          <w:rFonts w:ascii="Palatino Linotype" w:hAnsi="Palatino Linotype" w:cstheme="majorBidi"/>
          <w:lang w:val="en"/>
        </w:rPr>
        <w:t xml:space="preserve">legal </w:t>
      </w:r>
      <w:r w:rsidRPr="00DC7466">
        <w:rPr>
          <w:rFonts w:ascii="Palatino Linotype" w:hAnsi="Palatino Linotype" w:cstheme="majorBidi"/>
          <w:color w:val="000000"/>
          <w:lang w:val="en"/>
        </w:rPr>
        <w:t>efforts.  legal protection of the litigants.</w:t>
      </w:r>
    </w:p>
    <w:p w14:paraId="430AB92F" w14:textId="0538F70F" w:rsidR="00173877" w:rsidRPr="004E578B" w:rsidRDefault="00102CDC" w:rsidP="00CF33A6">
      <w:pPr>
        <w:spacing w:after="60" w:line="240" w:lineRule="auto"/>
        <w:jc w:val="both"/>
        <w:outlineLvl w:val="0"/>
        <w:rPr>
          <w:rFonts w:ascii="Cambria" w:hAnsi="Cambria" w:cs="Palatino"/>
          <w:b/>
          <w:bCs/>
          <w:sz w:val="24"/>
          <w:szCs w:val="24"/>
          <w:lang w:val="id-ID"/>
        </w:rPr>
      </w:pPr>
      <w:r w:rsidRPr="00102CDC">
        <w:rPr>
          <w:rFonts w:ascii="Cambria" w:hAnsi="Cambria" w:cs="Palatino"/>
          <w:b/>
          <w:bCs/>
          <w:sz w:val="24"/>
          <w:szCs w:val="24"/>
        </w:rPr>
        <w:t>Research Method</w:t>
      </w:r>
      <w:r w:rsidR="00173877" w:rsidRPr="004E578B">
        <w:rPr>
          <w:rFonts w:ascii="Cambria" w:hAnsi="Cambria" w:cs="Palatino"/>
          <w:b/>
          <w:bCs/>
          <w:sz w:val="24"/>
          <w:szCs w:val="24"/>
          <w:lang w:val="id-ID"/>
        </w:rPr>
        <w:t xml:space="preserve"> </w:t>
      </w:r>
    </w:p>
    <w:p w14:paraId="36C260A7" w14:textId="0AC7D541" w:rsidR="00B6232B" w:rsidRDefault="00B6232B" w:rsidP="00EA112D">
      <w:pPr>
        <w:pStyle w:val="MadaniaIsiParagraf"/>
        <w:spacing w:after="0" w:line="240" w:lineRule="atLeast"/>
        <w:ind w:firstLine="567"/>
        <w:rPr>
          <w:rStyle w:val="Strong"/>
          <w:rFonts w:ascii="Palatino Linotype" w:eastAsia="Times New Roman" w:hAnsi="Palatino Linotype" w:cstheme="majorBidi"/>
          <w:color w:val="333333"/>
          <w:shd w:val="clear" w:color="auto" w:fill="FFFFFF"/>
          <w:lang w:eastAsia="id-ID"/>
        </w:rPr>
      </w:pPr>
      <w:bookmarkStart w:id="1" w:name="_Hlk103747880"/>
      <w:r w:rsidRPr="00EA112D">
        <w:rPr>
          <w:rFonts w:ascii="Palatino Linotype" w:hAnsi="Palatino Linotype" w:cstheme="majorBidi"/>
          <w:color w:val="000000"/>
          <w:lang w:val="en"/>
        </w:rPr>
        <w:t>This paper’s research is juridically empirical using a qualitative approach, combined</w:t>
      </w:r>
      <w:r w:rsidRPr="00EA112D">
        <w:rPr>
          <w:rFonts w:ascii="Palatino Linotype" w:hAnsi="Palatino Linotype" w:cstheme="majorBidi"/>
          <w:lang w:val="en"/>
        </w:rPr>
        <w:t xml:space="preserve"> with </w:t>
      </w:r>
      <w:r w:rsidRPr="00EA112D">
        <w:rPr>
          <w:rFonts w:ascii="Palatino Linotype" w:hAnsi="Palatino Linotype" w:cstheme="majorBidi"/>
          <w:color w:val="000000"/>
          <w:lang w:val="en"/>
        </w:rPr>
        <w:t xml:space="preserve">the conceptual approach of the Law. </w:t>
      </w:r>
      <w:r w:rsidRPr="00EA112D">
        <w:rPr>
          <w:rFonts w:ascii="Palatino Linotype" w:hAnsi="Palatino Linotype" w:cstheme="majorBidi"/>
          <w:lang w:val="en"/>
        </w:rPr>
        <w:t>Terminology law in this case is a written positive legal order</w:t>
      </w:r>
      <w:r w:rsidRPr="00EA112D">
        <w:rPr>
          <w:rFonts w:ascii="Palatino Linotype" w:hAnsi="Palatino Linotype" w:cstheme="majorBidi"/>
          <w:color w:val="000000"/>
          <w:lang w:val="en"/>
        </w:rPr>
        <w:t>. Primary data is obtained from the results</w:t>
      </w:r>
      <w:r w:rsidRPr="00EA112D">
        <w:rPr>
          <w:rFonts w:ascii="Palatino Linotype" w:hAnsi="Palatino Linotype" w:cstheme="majorBidi"/>
          <w:lang w:val="en"/>
        </w:rPr>
        <w:t xml:space="preserve"> of </w:t>
      </w:r>
      <w:r w:rsidRPr="00EA112D">
        <w:rPr>
          <w:rFonts w:ascii="Palatino Linotype" w:hAnsi="Palatino Linotype" w:cstheme="majorBidi"/>
          <w:color w:val="000000"/>
          <w:lang w:val="en"/>
        </w:rPr>
        <w:t>discussion and interviews, while secondary</w:t>
      </w:r>
      <w:r w:rsidRPr="00EA112D">
        <w:rPr>
          <w:rFonts w:ascii="Palatino Linotype" w:hAnsi="Palatino Linotype" w:cstheme="majorBidi"/>
          <w:lang w:val="en"/>
        </w:rPr>
        <w:t xml:space="preserve"> </w:t>
      </w:r>
      <w:r w:rsidRPr="00EA112D">
        <w:rPr>
          <w:rFonts w:ascii="Palatino Linotype" w:hAnsi="Palatino Linotype" w:cstheme="majorBidi"/>
          <w:color w:val="000000"/>
          <w:lang w:val="en"/>
        </w:rPr>
        <w:t>research data is obtained from legal data</w:t>
      </w:r>
      <w:r w:rsidRPr="00EA112D">
        <w:rPr>
          <w:rFonts w:ascii="Palatino Linotype" w:hAnsi="Palatino Linotype" w:cstheme="majorBidi"/>
          <w:lang w:val="en"/>
        </w:rPr>
        <w:t xml:space="preserve"> both </w:t>
      </w:r>
      <w:r w:rsidRPr="00EA112D">
        <w:rPr>
          <w:rFonts w:ascii="Palatino Linotype" w:hAnsi="Palatino Linotype" w:cstheme="majorBidi"/>
          <w:color w:val="000000"/>
          <w:lang w:val="en"/>
        </w:rPr>
        <w:t>primary and secondary through various references and journals. An analyst's technique</w:t>
      </w:r>
      <w:bookmarkEnd w:id="1"/>
      <w:r w:rsidRPr="00EA112D">
        <w:rPr>
          <w:rFonts w:ascii="Palatino Linotype" w:hAnsi="Palatino Linotype" w:cstheme="majorBidi"/>
          <w:color w:val="000000"/>
          <w:lang w:val="en"/>
        </w:rPr>
        <w:t xml:space="preserve"> uses interactive models as well as data investigation </w:t>
      </w:r>
      <w:r w:rsidRPr="00EA112D">
        <w:rPr>
          <w:rFonts w:ascii="Palatino Linotype" w:hAnsi="Palatino Linotype" w:cstheme="majorBidi"/>
          <w:lang w:val="en"/>
        </w:rPr>
        <w:t>views</w:t>
      </w:r>
      <w:r w:rsidRPr="00EA112D">
        <w:rPr>
          <w:rFonts w:ascii="Palatino Linotype" w:hAnsi="Palatino Linotype" w:cstheme="majorBidi"/>
          <w:color w:val="000000"/>
          <w:lang w:val="en"/>
        </w:rPr>
        <w:t>.</w:t>
      </w:r>
      <w:r w:rsidRPr="00EA112D">
        <w:rPr>
          <w:rFonts w:ascii="Palatino Linotype" w:hAnsi="Palatino Linotype" w:cstheme="majorBidi"/>
          <w:lang w:val="en"/>
        </w:rPr>
        <w:t xml:space="preserve"> Formulation of problems, regarding</w:t>
      </w:r>
      <w:r w:rsidRPr="00EA112D">
        <w:rPr>
          <w:rFonts w:ascii="Palatino Linotype" w:hAnsi="Palatino Linotype" w:cstheme="majorBidi"/>
          <w:bCs/>
          <w:lang w:val="en"/>
        </w:rPr>
        <w:t xml:space="preserve"> simple lawsuit regulation and portraits of dispute resolution from the perspective of Islamic economic law</w:t>
      </w:r>
      <w:r w:rsidRPr="00EA112D">
        <w:rPr>
          <w:rFonts w:ascii="Palatino Linotype" w:hAnsi="Palatino Linotype" w:cstheme="majorBidi"/>
          <w:bCs/>
          <w:i/>
          <w:lang w:val="en"/>
        </w:rPr>
        <w:t xml:space="preserve">. </w:t>
      </w:r>
      <w:r w:rsidRPr="00EA112D">
        <w:rPr>
          <w:rFonts w:ascii="Palatino Linotype" w:hAnsi="Palatino Linotype" w:cstheme="majorBidi"/>
          <w:lang w:val="en"/>
        </w:rPr>
        <w:t xml:space="preserve"> </w:t>
      </w:r>
      <w:r w:rsidRPr="00EA112D">
        <w:rPr>
          <w:rFonts w:ascii="Palatino Linotype" w:hAnsi="Palatino Linotype" w:cstheme="majorBidi"/>
          <w:bCs/>
          <w:lang w:val="en"/>
        </w:rPr>
        <w:t>Presentation of</w:t>
      </w:r>
      <w:r w:rsidRPr="00EA112D">
        <w:rPr>
          <w:rFonts w:ascii="Palatino Linotype" w:hAnsi="Palatino Linotype" w:cstheme="majorBidi"/>
          <w:i/>
          <w:lang w:val="en"/>
        </w:rPr>
        <w:t xml:space="preserve"> normative</w:t>
      </w:r>
      <w:r w:rsidRPr="00EA112D">
        <w:rPr>
          <w:rFonts w:ascii="Palatino Linotype" w:hAnsi="Palatino Linotype" w:cstheme="majorBidi"/>
          <w:lang w:val="en"/>
        </w:rPr>
        <w:t xml:space="preserve"> analysis with</w:t>
      </w:r>
      <w:r w:rsidRPr="00EA112D">
        <w:rPr>
          <w:rFonts w:ascii="Palatino Linotype" w:hAnsi="Palatino Linotype" w:cstheme="majorBidi"/>
          <w:i/>
          <w:shd w:val="clear" w:color="auto" w:fill="FFFFFF"/>
          <w:lang w:val="en"/>
        </w:rPr>
        <w:t xml:space="preserve"> library research</w:t>
      </w:r>
      <w:r w:rsidRPr="00EA112D">
        <w:rPr>
          <w:rFonts w:ascii="Palatino Linotype" w:hAnsi="Palatino Linotype" w:cstheme="majorBidi"/>
          <w:lang w:val="en"/>
        </w:rPr>
        <w:t xml:space="preserve"> accompanied by a study of legal regulations related to contract cases in LKS.  In legal research, a person conducts research by conducting legal activities to reveal the truth of the law, a scientific activity based on certain procedures, systematics, and understandings whose purpose is to investigate certain legal indications, investigate by conducting a deep review of the truth of the law, and deal with the disclosure of a problem that arises in various indications case.</w:t>
      </w:r>
      <w:r w:rsidRPr="00EA112D">
        <w:rPr>
          <w:rStyle w:val="FootnoteReference"/>
          <w:rFonts w:ascii="Palatino Linotype" w:hAnsi="Palatino Linotype" w:cstheme="majorBidi"/>
          <w:lang w:val="en"/>
        </w:rPr>
        <w:footnoteReference w:id="7"/>
      </w:r>
      <w:r w:rsidRPr="00EA112D">
        <w:rPr>
          <w:rStyle w:val="Strong"/>
          <w:rFonts w:ascii="Palatino Linotype" w:eastAsia="Times New Roman" w:hAnsi="Palatino Linotype" w:cstheme="majorBidi"/>
          <w:color w:val="333333"/>
          <w:shd w:val="clear" w:color="auto" w:fill="FFFFFF"/>
          <w:lang w:eastAsia="id-ID"/>
        </w:rPr>
        <w:t xml:space="preserve"> </w:t>
      </w:r>
    </w:p>
    <w:p w14:paraId="2F4CDF47" w14:textId="77777777" w:rsidR="005A15EF" w:rsidRPr="00EA112D" w:rsidRDefault="005A15EF" w:rsidP="00EA112D">
      <w:pPr>
        <w:pStyle w:val="MadaniaIsiParagraf"/>
        <w:spacing w:after="0" w:line="240" w:lineRule="atLeast"/>
        <w:ind w:firstLine="567"/>
        <w:rPr>
          <w:rStyle w:val="Strong"/>
          <w:rFonts w:ascii="Palatino Linotype" w:eastAsia="Times New Roman" w:hAnsi="Palatino Linotype" w:cstheme="majorBidi"/>
          <w:color w:val="333333"/>
          <w:shd w:val="clear" w:color="auto" w:fill="FFFFFF"/>
          <w:lang w:val="en-US" w:eastAsia="id-ID"/>
        </w:rPr>
      </w:pPr>
    </w:p>
    <w:p w14:paraId="73F93B9D" w14:textId="77777777" w:rsidR="00CF33A6" w:rsidRPr="004E578B" w:rsidRDefault="00CF33A6" w:rsidP="00CF33A6">
      <w:pPr>
        <w:pStyle w:val="E-JOURNALHeading1"/>
        <w:spacing w:before="0" w:after="0"/>
        <w:rPr>
          <w:rFonts w:ascii="Cambria" w:hAnsi="Cambria"/>
          <w:sz w:val="24"/>
          <w:szCs w:val="24"/>
        </w:rPr>
      </w:pPr>
      <w:r w:rsidRPr="004E578B">
        <w:rPr>
          <w:rFonts w:ascii="Cambria" w:hAnsi="Cambria"/>
          <w:sz w:val="24"/>
          <w:szCs w:val="24"/>
        </w:rPr>
        <w:t>Results and Discussion</w:t>
      </w:r>
    </w:p>
    <w:p w14:paraId="1E8A3D64" w14:textId="77777777" w:rsidR="00B6232B" w:rsidRPr="00EA112D" w:rsidRDefault="00B6232B" w:rsidP="00CF33A6">
      <w:pPr>
        <w:spacing w:after="0" w:line="240" w:lineRule="auto"/>
        <w:rPr>
          <w:rFonts w:ascii="Palatino Linotype" w:hAnsi="Palatino Linotype" w:cstheme="majorBidi"/>
          <w:b/>
          <w:bCs/>
        </w:rPr>
      </w:pPr>
      <w:r w:rsidRPr="00EA112D">
        <w:rPr>
          <w:rFonts w:ascii="Palatino Linotype" w:hAnsi="Palatino Linotype" w:cstheme="majorBidi"/>
          <w:b/>
          <w:bCs/>
        </w:rPr>
        <w:t>Sharia Economic Law Entities</w:t>
      </w:r>
    </w:p>
    <w:p w14:paraId="3861F0EE" w14:textId="77777777" w:rsidR="00B6232B" w:rsidRPr="00B6232B" w:rsidRDefault="00B6232B" w:rsidP="00CF33A6">
      <w:pPr>
        <w:spacing w:after="0" w:line="240" w:lineRule="auto"/>
        <w:ind w:firstLine="567"/>
        <w:jc w:val="both"/>
        <w:rPr>
          <w:rFonts w:ascii="Palatino Linotype" w:hAnsi="Palatino Linotype" w:cstheme="majorBidi"/>
        </w:rPr>
      </w:pPr>
      <w:r w:rsidRPr="00B6232B">
        <w:rPr>
          <w:rFonts w:ascii="Palatino Linotype" w:hAnsi="Palatino Linotype" w:cstheme="majorBidi"/>
          <w:lang w:val="en"/>
        </w:rPr>
        <w:t>The Unitary State of the Republic of Indonesia is based on Pancasila and the 1945 Constitution as</w:t>
      </w:r>
      <w:r w:rsidRPr="00B6232B">
        <w:rPr>
          <w:rFonts w:ascii="Palatino Linotype" w:hAnsi="Palatino Linotype" w:cstheme="majorBidi"/>
          <w:i/>
          <w:lang w:val="en"/>
        </w:rPr>
        <w:t xml:space="preserve"> a normative</w:t>
      </w:r>
      <w:r w:rsidRPr="00B6232B">
        <w:rPr>
          <w:rFonts w:ascii="Palatino Linotype" w:hAnsi="Palatino Linotype" w:cstheme="majorBidi"/>
          <w:lang w:val="en"/>
        </w:rPr>
        <w:t xml:space="preserve"> reference in every form of justice. Badan Religious Justice includes the realm of judicial authority. Where the position is in line with other courts to enforce the law. The Religious Judiciary is centered on the Supreme Court which is the highest state court institution. This is also stated in Article 3 paragraph 2 of Law No. 7 of 1989 regulates the Religious Judiciary, for the handling of cases the work cannot be released at all from religious law, namely Islam.  Likewise, article 49 of Law No. 3 of 2006 has bestowed the intent of various cases into his authority. Religious Justice in Indonesia the formulation of its authority includes:</w:t>
      </w:r>
      <w:r w:rsidRPr="00B6232B">
        <w:rPr>
          <w:rFonts w:ascii="Palatino Linotype" w:hAnsi="Palatino Linotype" w:cstheme="majorBidi"/>
          <w:i/>
          <w:lang w:val="en"/>
        </w:rPr>
        <w:t xml:space="preserve"> first,</w:t>
      </w:r>
      <w:r w:rsidRPr="00B6232B">
        <w:rPr>
          <w:rFonts w:ascii="Palatino Linotype" w:hAnsi="Palatino Linotype" w:cstheme="majorBidi"/>
          <w:lang w:val="en"/>
        </w:rPr>
        <w:t xml:space="preserve"> the authority of the state, namely the authority of the judiciary that is free from the destruction of external groups and the power of other countries; </w:t>
      </w:r>
      <w:r w:rsidRPr="00B6232B">
        <w:rPr>
          <w:rFonts w:ascii="Palatino Linotype" w:hAnsi="Palatino Linotype" w:cstheme="majorBidi"/>
          <w:i/>
          <w:lang w:val="en"/>
        </w:rPr>
        <w:t xml:space="preserve"> second,</w:t>
      </w:r>
      <w:r w:rsidRPr="00B6232B">
        <w:rPr>
          <w:rFonts w:ascii="Palatino Linotype" w:hAnsi="Palatino Linotype" w:cstheme="majorBidi"/>
          <w:lang w:val="en"/>
        </w:rPr>
        <w:t xml:space="preserve"> the court in the territory of the Religious Justice, includes hierarchy, structure, leadership, judges, clerks, as well as other elements in the series of court networks;  </w:t>
      </w:r>
      <w:r w:rsidRPr="00B6232B">
        <w:rPr>
          <w:rFonts w:ascii="Palatino Linotype" w:hAnsi="Palatino Linotype" w:cstheme="majorBidi"/>
          <w:i/>
          <w:lang w:val="en"/>
        </w:rPr>
        <w:t>third,</w:t>
      </w:r>
      <w:r w:rsidRPr="00B6232B">
        <w:rPr>
          <w:rFonts w:ascii="Palatino Linotype" w:hAnsi="Palatino Linotype" w:cstheme="majorBidi"/>
          <w:lang w:val="en"/>
        </w:rPr>
        <w:t xml:space="preserve"> the method of the case in court, which includes the type of case, the law of procedure, and its products;  </w:t>
      </w:r>
      <w:r w:rsidRPr="00B6232B">
        <w:rPr>
          <w:rFonts w:ascii="Palatino Linotype" w:hAnsi="Palatino Linotype" w:cstheme="majorBidi"/>
          <w:i/>
          <w:lang w:val="en"/>
        </w:rPr>
        <w:t>fourth</w:t>
      </w:r>
      <w:r w:rsidRPr="00B6232B">
        <w:rPr>
          <w:rFonts w:ascii="Palatino Linotype" w:hAnsi="Palatino Linotype" w:cstheme="majorBidi"/>
          <w:lang w:val="en"/>
        </w:rPr>
        <w:t xml:space="preserve">, cases in the fields of inheritance, marriage, grants, wills, representation, </w:t>
      </w:r>
      <w:r w:rsidRPr="00B6232B">
        <w:rPr>
          <w:rFonts w:ascii="Palatino Linotype" w:hAnsi="Palatino Linotype" w:cstheme="majorBidi"/>
          <w:i/>
          <w:lang w:val="en"/>
        </w:rPr>
        <w:t xml:space="preserve">zakat, </w:t>
      </w:r>
      <w:proofErr w:type="spellStart"/>
      <w:r w:rsidRPr="00B6232B">
        <w:rPr>
          <w:rFonts w:ascii="Palatino Linotype" w:hAnsi="Palatino Linotype" w:cstheme="majorBidi"/>
          <w:i/>
          <w:lang w:val="en"/>
        </w:rPr>
        <w:t>shadaqah</w:t>
      </w:r>
      <w:proofErr w:type="spellEnd"/>
      <w:r w:rsidRPr="00B6232B">
        <w:rPr>
          <w:rFonts w:ascii="Palatino Linotype" w:hAnsi="Palatino Linotype" w:cstheme="majorBidi"/>
          <w:i/>
          <w:lang w:val="en"/>
        </w:rPr>
        <w:t xml:space="preserve">, </w:t>
      </w:r>
      <w:proofErr w:type="spellStart"/>
      <w:r w:rsidRPr="00B6232B">
        <w:rPr>
          <w:rFonts w:ascii="Palatino Linotype" w:hAnsi="Palatino Linotype" w:cstheme="majorBidi"/>
          <w:i/>
          <w:lang w:val="en"/>
        </w:rPr>
        <w:t>infaq</w:t>
      </w:r>
      <w:proofErr w:type="spellEnd"/>
      <w:r w:rsidRPr="00B6232B">
        <w:rPr>
          <w:rFonts w:ascii="Palatino Linotype" w:hAnsi="Palatino Linotype" w:cstheme="majorBidi"/>
          <w:i/>
          <w:lang w:val="en"/>
        </w:rPr>
        <w:t xml:space="preserve">. </w:t>
      </w:r>
      <w:r w:rsidRPr="00B6232B">
        <w:rPr>
          <w:rFonts w:ascii="Palatino Linotype" w:hAnsi="Palatino Linotype" w:cstheme="majorBidi"/>
          <w:lang w:val="en"/>
        </w:rPr>
        <w:t xml:space="preserve">Sharia economy, including various cases whose authority is in the judicial body religion; </w:t>
      </w:r>
      <w:r w:rsidRPr="00B6232B">
        <w:rPr>
          <w:rFonts w:ascii="Palatino Linotype" w:hAnsi="Palatino Linotype" w:cstheme="majorBidi"/>
          <w:i/>
          <w:lang w:val="en"/>
        </w:rPr>
        <w:t>fifth,</w:t>
      </w:r>
      <w:r w:rsidRPr="00B6232B">
        <w:rPr>
          <w:rFonts w:ascii="Palatino Linotype" w:hAnsi="Palatino Linotype" w:cstheme="majorBidi"/>
          <w:lang w:val="en"/>
        </w:rPr>
        <w:t xml:space="preserve"> regarding the cases of people who are Muslim, or seek justice; </w:t>
      </w:r>
      <w:r w:rsidRPr="00B6232B">
        <w:rPr>
          <w:rFonts w:ascii="Palatino Linotype" w:hAnsi="Palatino Linotype" w:cstheme="majorBidi"/>
          <w:i/>
          <w:lang w:val="en"/>
        </w:rPr>
        <w:t>sixth</w:t>
      </w:r>
      <w:r w:rsidRPr="00B6232B">
        <w:rPr>
          <w:rFonts w:ascii="Palatino Linotype" w:hAnsi="Palatino Linotype" w:cstheme="majorBidi"/>
          <w:lang w:val="en"/>
        </w:rPr>
        <w:t xml:space="preserve">, Islamic law becomes a material law that becomes a reference; </w:t>
      </w:r>
      <w:r w:rsidRPr="00B6232B">
        <w:rPr>
          <w:rFonts w:ascii="Palatino Linotype" w:hAnsi="Palatino Linotype" w:cstheme="majorBidi"/>
          <w:i/>
          <w:lang w:val="en"/>
        </w:rPr>
        <w:t>Seventh,</w:t>
      </w:r>
      <w:r w:rsidRPr="00B6232B">
        <w:rPr>
          <w:rFonts w:ascii="Palatino Linotype" w:hAnsi="Palatino Linotype" w:cstheme="majorBidi"/>
          <w:lang w:val="en"/>
        </w:rPr>
        <w:t xml:space="preserve"> strengthening the law and justice.</w:t>
      </w:r>
      <w:r w:rsidRPr="00B6232B">
        <w:rPr>
          <w:rStyle w:val="FootnoteReference"/>
          <w:rFonts w:ascii="Palatino Linotype" w:hAnsi="Palatino Linotype" w:cstheme="majorBidi"/>
          <w:lang w:val="en"/>
        </w:rPr>
        <w:footnoteReference w:id="8"/>
      </w:r>
    </w:p>
    <w:p w14:paraId="2064BEDE" w14:textId="4D3AE8E8" w:rsidR="00B6232B" w:rsidRPr="00B6232B" w:rsidRDefault="00B6232B" w:rsidP="00B6232B">
      <w:pPr>
        <w:spacing w:after="0" w:line="240" w:lineRule="auto"/>
        <w:ind w:firstLine="567"/>
        <w:jc w:val="both"/>
        <w:rPr>
          <w:rFonts w:ascii="Palatino Linotype" w:hAnsi="Palatino Linotype" w:cstheme="majorBidi"/>
        </w:rPr>
      </w:pPr>
      <w:r w:rsidRPr="00B6232B">
        <w:rPr>
          <w:rFonts w:ascii="Palatino Linotype" w:hAnsi="Palatino Linotype" w:cstheme="majorBidi"/>
          <w:lang w:val="en"/>
        </w:rPr>
        <w:t xml:space="preserve">The solution to all economic problems, the thing that is desired for all economic </w:t>
      </w:r>
      <w:r w:rsidRPr="00B6232B">
        <w:rPr>
          <w:rFonts w:ascii="Palatino Linotype" w:hAnsi="Palatino Linotype" w:cstheme="majorBidi"/>
          <w:i/>
          <w:lang w:val="en"/>
        </w:rPr>
        <w:t>systems</w:t>
      </w:r>
      <w:r w:rsidRPr="00B6232B">
        <w:rPr>
          <w:rFonts w:ascii="Palatino Linotype" w:hAnsi="Palatino Linotype" w:cstheme="majorBidi"/>
          <w:lang w:val="en"/>
        </w:rPr>
        <w:t xml:space="preserve">, whether from the capitalist, socialist, or mixed economic </w:t>
      </w:r>
      <w:r w:rsidRPr="00B6232B">
        <w:rPr>
          <w:rFonts w:ascii="Palatino Linotype" w:hAnsi="Palatino Linotype" w:cstheme="majorBidi"/>
          <w:i/>
          <w:lang w:val="en"/>
        </w:rPr>
        <w:t>system</w:t>
      </w:r>
      <w:r w:rsidRPr="00B6232B">
        <w:rPr>
          <w:rFonts w:ascii="Palatino Linotype" w:hAnsi="Palatino Linotype" w:cstheme="majorBidi"/>
          <w:lang w:val="en"/>
        </w:rPr>
        <w:t xml:space="preserve"> is the Islamic economy. The spirit of the Islamic economic system is the existence of a fair balance (</w:t>
      </w:r>
      <w:proofErr w:type="spellStart"/>
      <w:r w:rsidRPr="00B6232B">
        <w:rPr>
          <w:rFonts w:ascii="Palatino Linotype" w:hAnsi="Palatino Linotype" w:cstheme="majorBidi"/>
          <w:i/>
          <w:lang w:val="en"/>
        </w:rPr>
        <w:t>tawāsuth</w:t>
      </w:r>
      <w:proofErr w:type="spellEnd"/>
      <w:r w:rsidRPr="00B6232B">
        <w:rPr>
          <w:rFonts w:ascii="Palatino Linotype" w:hAnsi="Palatino Linotype" w:cstheme="majorBidi"/>
          <w:lang w:val="en"/>
        </w:rPr>
        <w:t xml:space="preserve">). The answers to all these systems are certainly varied. </w:t>
      </w:r>
      <w:r w:rsidRPr="00B6232B">
        <w:rPr>
          <w:rFonts w:ascii="Palatino Linotype" w:hAnsi="Palatino Linotype" w:cstheme="majorBidi"/>
          <w:i/>
          <w:lang w:val="en"/>
        </w:rPr>
        <w:t>The capitalist</w:t>
      </w:r>
      <w:r w:rsidRPr="00B6232B">
        <w:rPr>
          <w:rFonts w:ascii="Palatino Linotype" w:hAnsi="Palatino Linotype" w:cstheme="majorBidi"/>
          <w:lang w:val="en"/>
        </w:rPr>
        <w:t xml:space="preserve"> system fights for how much consistency the economic system is just.  I see the mechanism of forming a conglomeration system and monopoly in a handful of people with capital.  </w:t>
      </w:r>
      <w:r w:rsidRPr="00B6232B">
        <w:rPr>
          <w:rFonts w:ascii="Palatino Linotype" w:hAnsi="Palatino Linotype" w:cstheme="majorBidi"/>
          <w:i/>
          <w:lang w:val="en"/>
        </w:rPr>
        <w:t>Socialist</w:t>
      </w:r>
      <w:r w:rsidRPr="00B6232B">
        <w:rPr>
          <w:rFonts w:ascii="Palatino Linotype" w:hAnsi="Palatino Linotype" w:cstheme="majorBidi"/>
          <w:lang w:val="en"/>
        </w:rPr>
        <w:t xml:space="preserve"> system, see how effective this </w:t>
      </w:r>
      <w:r w:rsidRPr="00B6232B">
        <w:rPr>
          <w:rFonts w:ascii="Palatino Linotype" w:hAnsi="Palatino Linotype" w:cstheme="majorBidi"/>
          <w:i/>
          <w:lang w:val="en"/>
        </w:rPr>
        <w:t>system</w:t>
      </w:r>
      <w:r w:rsidRPr="00B6232B">
        <w:rPr>
          <w:rFonts w:ascii="Palatino Linotype" w:hAnsi="Palatino Linotype" w:cstheme="majorBidi"/>
          <w:lang w:val="en"/>
        </w:rPr>
        <w:t xml:space="preserve"> is towards a prosperous economy. The spirit of</w:t>
      </w:r>
      <w:r w:rsidRPr="00B6232B">
        <w:rPr>
          <w:rFonts w:ascii="Palatino Linotype" w:hAnsi="Palatino Linotype" w:cstheme="majorBidi"/>
          <w:i/>
          <w:lang w:val="en"/>
        </w:rPr>
        <w:t xml:space="preserve"> the</w:t>
      </w:r>
      <w:r w:rsidRPr="00B6232B">
        <w:rPr>
          <w:rFonts w:ascii="Palatino Linotype" w:hAnsi="Palatino Linotype" w:cstheme="majorBidi"/>
          <w:lang w:val="en"/>
        </w:rPr>
        <w:t xml:space="preserve"> Islamic economic system is a just balance. The characteristics of balance are seen between the individual and society, as well as the establishment in various dimensions of life to achieve happiness in the world and the afterlife, physical and “</w:t>
      </w:r>
      <w:proofErr w:type="spellStart"/>
      <w:r w:rsidRPr="00B6232B">
        <w:rPr>
          <w:rFonts w:ascii="Palatino Linotype" w:hAnsi="Palatino Linotype" w:cstheme="majorBidi"/>
          <w:i/>
          <w:lang w:val="en"/>
        </w:rPr>
        <w:t>Rohani</w:t>
      </w:r>
      <w:proofErr w:type="spellEnd"/>
      <w:r w:rsidRPr="00B6232B">
        <w:rPr>
          <w:rFonts w:ascii="Palatino Linotype" w:hAnsi="Palatino Linotype" w:cstheme="majorBidi"/>
          <w:lang w:val="en"/>
        </w:rPr>
        <w:t>” reason and conscience, idealism, and facts.  It’s like Allah SWT.</w:t>
      </w:r>
      <w:r>
        <w:rPr>
          <w:rFonts w:ascii="Palatino Linotype" w:hAnsi="Palatino Linotype" w:cstheme="majorBidi"/>
          <w:lang w:val="en"/>
        </w:rPr>
        <w:t xml:space="preserve"> </w:t>
      </w:r>
      <w:r w:rsidRPr="00B6232B">
        <w:rPr>
          <w:rFonts w:ascii="Palatino Linotype" w:hAnsi="Palatino Linotype" w:cstheme="majorBidi"/>
          <w:lang w:val="en"/>
        </w:rPr>
        <w:t>It has been described in the Qur'an and is proclaimed in the As-Sunnah of the Prophet Muhammad (peace be upon him).</w:t>
      </w:r>
      <w:r w:rsidRPr="00B6232B">
        <w:rPr>
          <w:rStyle w:val="FootnoteReference"/>
          <w:rFonts w:ascii="Palatino Linotype" w:hAnsi="Palatino Linotype" w:cstheme="majorBidi"/>
          <w:lang w:val="en"/>
        </w:rPr>
        <w:footnoteReference w:id="9"/>
      </w:r>
    </w:p>
    <w:p w14:paraId="53FB0D69" w14:textId="6805E48B" w:rsidR="00B6232B" w:rsidRPr="00B6232B" w:rsidRDefault="00B6232B" w:rsidP="00B6232B">
      <w:pPr>
        <w:spacing w:after="0" w:line="240" w:lineRule="auto"/>
        <w:ind w:firstLine="567"/>
        <w:jc w:val="both"/>
        <w:rPr>
          <w:rFonts w:ascii="Palatino Linotype" w:hAnsi="Palatino Linotype" w:cstheme="majorBidi"/>
          <w:lang w:val="en"/>
        </w:rPr>
      </w:pPr>
      <w:r w:rsidRPr="00B6232B">
        <w:rPr>
          <w:rFonts w:ascii="Palatino Linotype" w:hAnsi="Palatino Linotype" w:cstheme="majorBidi"/>
          <w:lang w:val="en"/>
        </w:rPr>
        <w:t>Studying</w:t>
      </w:r>
      <w:r w:rsidRPr="00B6232B">
        <w:rPr>
          <w:rFonts w:ascii="Palatino Linotype" w:hAnsi="Palatino Linotype" w:cstheme="majorBidi"/>
          <w:i/>
          <w:lang w:val="en"/>
        </w:rPr>
        <w:t xml:space="preserve"> </w:t>
      </w:r>
      <w:r w:rsidRPr="00B6232B">
        <w:rPr>
          <w:rFonts w:ascii="Palatino Linotype" w:hAnsi="Palatino Linotype" w:cstheme="majorBidi"/>
          <w:lang w:val="en"/>
        </w:rPr>
        <w:t>the Islamic economic spirit system, then one of the factors emerges the dispute because it loses the balance between the rights and obligations of the parties, as outlined under the agreement (</w:t>
      </w:r>
      <w:proofErr w:type="spellStart"/>
      <w:r w:rsidRPr="00B6232B">
        <w:rPr>
          <w:rFonts w:ascii="Palatino Linotype" w:hAnsi="Palatino Linotype" w:cstheme="majorBidi"/>
          <w:lang w:val="en"/>
        </w:rPr>
        <w:t>Akad</w:t>
      </w:r>
      <w:proofErr w:type="spellEnd"/>
      <w:r w:rsidRPr="00B6232B">
        <w:rPr>
          <w:rFonts w:ascii="Palatino Linotype" w:hAnsi="Palatino Linotype" w:cstheme="majorBidi"/>
          <w:lang w:val="en"/>
        </w:rPr>
        <w:t xml:space="preserve">) agreed upon by the parties. </w:t>
      </w:r>
      <w:r w:rsidRPr="00B6232B">
        <w:rPr>
          <w:rFonts w:ascii="Palatino Linotype" w:hAnsi="Palatino Linotype" w:cstheme="majorBidi"/>
          <w:lang w:val="en"/>
        </w:rPr>
        <w:lastRenderedPageBreak/>
        <w:t>Implementation order, for example,</w:t>
      </w:r>
      <w:r w:rsidRPr="00B6232B">
        <w:rPr>
          <w:rFonts w:ascii="Palatino Linotype" w:hAnsi="Palatino Linotype" w:cstheme="majorBidi"/>
          <w:bCs/>
          <w:i/>
          <w:lang w:val="en"/>
        </w:rPr>
        <w:t xml:space="preserve"> </w:t>
      </w:r>
      <w:proofErr w:type="spellStart"/>
      <w:r w:rsidRPr="00B6232B">
        <w:rPr>
          <w:rFonts w:ascii="Palatino Linotype" w:hAnsi="Palatino Linotype" w:cstheme="majorBidi"/>
          <w:bCs/>
          <w:i/>
          <w:lang w:val="en"/>
        </w:rPr>
        <w:t>musyārakah</w:t>
      </w:r>
      <w:proofErr w:type="spellEnd"/>
      <w:r w:rsidRPr="00B6232B">
        <w:rPr>
          <w:rFonts w:ascii="Palatino Linotype" w:hAnsi="Palatino Linotype" w:cstheme="majorBidi"/>
          <w:bCs/>
          <w:lang w:val="en"/>
        </w:rPr>
        <w:t xml:space="preserve"> means an agreement between two people to unionize in terms of business</w:t>
      </w:r>
      <w:r w:rsidRPr="00B6232B">
        <w:rPr>
          <w:rFonts w:ascii="Palatino Linotype" w:hAnsi="Palatino Linotype" w:cstheme="majorBidi"/>
          <w:lang w:val="en"/>
        </w:rPr>
        <w:t xml:space="preserve"> management</w:t>
      </w:r>
      <w:r w:rsidRPr="00B6232B">
        <w:rPr>
          <w:rFonts w:ascii="Palatino Linotype" w:hAnsi="Palatino Linotype" w:cstheme="majorBidi"/>
          <w:bCs/>
          <w:lang w:val="en"/>
        </w:rPr>
        <w:t>, capital, and profit-sharing. The profit result of</w:t>
      </w:r>
      <w:r>
        <w:rPr>
          <w:rFonts w:ascii="Palatino Linotype" w:hAnsi="Palatino Linotype" w:cstheme="majorBidi"/>
          <w:bCs/>
          <w:lang w:val="en"/>
        </w:rPr>
        <w:t xml:space="preserve"> </w:t>
      </w:r>
      <w:r w:rsidRPr="00B6232B">
        <w:rPr>
          <w:rStyle w:val="FootnoteReference"/>
          <w:rFonts w:ascii="Palatino Linotype" w:hAnsi="Palatino Linotype" w:cstheme="majorBidi"/>
          <w:bCs/>
          <w:lang w:val="en"/>
        </w:rPr>
        <w:footnoteReference w:id="10"/>
      </w:r>
      <w:r w:rsidRPr="00B6232B">
        <w:rPr>
          <w:rFonts w:ascii="Palatino Linotype" w:hAnsi="Palatino Linotype" w:cstheme="majorBidi"/>
          <w:bCs/>
          <w:i/>
          <w:lang w:val="en"/>
        </w:rPr>
        <w:t xml:space="preserve"> </w:t>
      </w:r>
      <w:proofErr w:type="spellStart"/>
      <w:r w:rsidRPr="00B6232B">
        <w:rPr>
          <w:rFonts w:ascii="Palatino Linotype" w:hAnsi="Palatino Linotype" w:cstheme="majorBidi"/>
          <w:bCs/>
          <w:i/>
          <w:lang w:val="en"/>
        </w:rPr>
        <w:t>musyārakah</w:t>
      </w:r>
      <w:proofErr w:type="spellEnd"/>
      <w:r w:rsidRPr="00B6232B">
        <w:rPr>
          <w:rFonts w:ascii="Palatino Linotype" w:hAnsi="Palatino Linotype" w:cstheme="majorBidi"/>
          <w:bCs/>
          <w:lang w:val="en"/>
        </w:rPr>
        <w:t xml:space="preserve"> is also the same regulated as in</w:t>
      </w:r>
      <w:r w:rsidRPr="00B6232B">
        <w:rPr>
          <w:rFonts w:ascii="Palatino Linotype" w:hAnsi="Palatino Linotype" w:cstheme="majorBidi"/>
          <w:bCs/>
          <w:i/>
          <w:lang w:val="en"/>
        </w:rPr>
        <w:t xml:space="preserve"> </w:t>
      </w:r>
      <w:proofErr w:type="spellStart"/>
      <w:r w:rsidRPr="00B6232B">
        <w:rPr>
          <w:rFonts w:ascii="Palatino Linotype" w:hAnsi="Palatino Linotype" w:cstheme="majorBidi"/>
          <w:bCs/>
          <w:i/>
          <w:lang w:val="en"/>
        </w:rPr>
        <w:t>mudhārabah</w:t>
      </w:r>
      <w:proofErr w:type="spellEnd"/>
      <w:r w:rsidRPr="00B6232B">
        <w:rPr>
          <w:rFonts w:ascii="Palatino Linotype" w:hAnsi="Palatino Linotype" w:cstheme="majorBidi"/>
          <w:bCs/>
          <w:i/>
          <w:lang w:val="en"/>
        </w:rPr>
        <w:t xml:space="preserve">, </w:t>
      </w:r>
      <w:r w:rsidRPr="00B6232B">
        <w:rPr>
          <w:rFonts w:ascii="Palatino Linotype" w:hAnsi="Palatino Linotype" w:cstheme="majorBidi"/>
          <w:bCs/>
          <w:lang w:val="en"/>
        </w:rPr>
        <w:t>which is proportionally by the basis of division and loss</w:t>
      </w:r>
      <w:r w:rsidRPr="00B6232B">
        <w:rPr>
          <w:rFonts w:ascii="Palatino Linotype" w:hAnsi="Palatino Linotype" w:cstheme="majorBidi"/>
          <w:bCs/>
          <w:i/>
          <w:lang w:val="en"/>
        </w:rPr>
        <w:t xml:space="preserve"> (profit and loss sharing principle/PLS).</w:t>
      </w:r>
      <w:r w:rsidRPr="00B6232B">
        <w:rPr>
          <w:rFonts w:ascii="Palatino Linotype" w:hAnsi="Palatino Linotype" w:cstheme="majorBidi"/>
          <w:lang w:val="en"/>
        </w:rPr>
        <w:t xml:space="preserve"> </w:t>
      </w:r>
      <w:r w:rsidRPr="00B6232B">
        <w:rPr>
          <w:rStyle w:val="FootnoteReference"/>
          <w:rFonts w:ascii="Palatino Linotype" w:hAnsi="Palatino Linotype" w:cstheme="majorBidi"/>
          <w:bCs/>
          <w:i/>
          <w:lang w:val="en"/>
        </w:rPr>
        <w:footnoteReference w:id="11"/>
      </w:r>
      <w:r w:rsidRPr="00B6232B">
        <w:rPr>
          <w:rFonts w:ascii="Palatino Linotype" w:hAnsi="Palatino Linotype" w:cstheme="majorBidi"/>
          <w:bCs/>
          <w:lang w:val="en"/>
        </w:rPr>
        <w:t xml:space="preserve"> The DSN fatwa also says that</w:t>
      </w:r>
      <w:r w:rsidRPr="00B6232B">
        <w:rPr>
          <w:rFonts w:ascii="Palatino Linotype" w:hAnsi="Palatino Linotype" w:cstheme="majorBidi"/>
          <w:i/>
          <w:lang w:val="en"/>
        </w:rPr>
        <w:t xml:space="preserve"> the </w:t>
      </w:r>
      <w:proofErr w:type="spellStart"/>
      <w:r w:rsidRPr="00B6232B">
        <w:rPr>
          <w:rFonts w:ascii="Palatino Linotype" w:hAnsi="Palatino Linotype" w:cstheme="majorBidi"/>
          <w:i/>
          <w:lang w:val="en"/>
        </w:rPr>
        <w:t>musyārakah</w:t>
      </w:r>
      <w:proofErr w:type="spellEnd"/>
      <w:r w:rsidRPr="00B6232B">
        <w:rPr>
          <w:rFonts w:ascii="Palatino Linotype" w:hAnsi="Palatino Linotype" w:cstheme="majorBidi"/>
          <w:lang w:val="en"/>
        </w:rPr>
        <w:t xml:space="preserve"> fund is sourced from the provisions of participation of two parties in certain businesses, where each party bestows cost involvement on conditions, profits, as well as risks that will be borne by the joint agreement.</w:t>
      </w:r>
      <w:r w:rsidRPr="00B6232B">
        <w:rPr>
          <w:rStyle w:val="FootnoteReference"/>
          <w:rFonts w:ascii="Palatino Linotype" w:hAnsi="Palatino Linotype" w:cstheme="majorBidi"/>
          <w:lang w:val="en"/>
        </w:rPr>
        <w:footnoteReference w:id="12"/>
      </w:r>
    </w:p>
    <w:p w14:paraId="613E48EA" w14:textId="77777777" w:rsidR="00B6232B" w:rsidRPr="00A34ABB" w:rsidRDefault="00B6232B" w:rsidP="00A34ABB">
      <w:pPr>
        <w:pStyle w:val="ListParagraph"/>
        <w:spacing w:after="0" w:line="240" w:lineRule="auto"/>
        <w:ind w:left="0"/>
        <w:jc w:val="both"/>
        <w:rPr>
          <w:rFonts w:ascii="Palatino Linotype" w:hAnsi="Palatino Linotype" w:cstheme="majorBidi"/>
          <w:b/>
          <w:lang w:val="en"/>
        </w:rPr>
      </w:pPr>
      <w:r w:rsidRPr="00A34ABB">
        <w:rPr>
          <w:rFonts w:ascii="Palatino Linotype" w:hAnsi="Palatino Linotype" w:cstheme="majorBidi"/>
          <w:b/>
          <w:bCs/>
          <w:lang w:val="en"/>
        </w:rPr>
        <w:t>Dispute Resolution Practices</w:t>
      </w:r>
    </w:p>
    <w:p w14:paraId="2D8015B2" w14:textId="77777777" w:rsidR="00B6232B" w:rsidRPr="00A34ABB" w:rsidRDefault="00B6232B" w:rsidP="00A34ABB">
      <w:pPr>
        <w:pStyle w:val="ListParagraph"/>
        <w:spacing w:after="0" w:line="240" w:lineRule="auto"/>
        <w:ind w:left="0"/>
        <w:jc w:val="both"/>
        <w:rPr>
          <w:rFonts w:ascii="Palatino Linotype" w:hAnsi="Palatino Linotype" w:cstheme="majorBidi"/>
          <w:b/>
          <w:lang w:val="en"/>
        </w:rPr>
      </w:pPr>
      <w:r w:rsidRPr="00A34ABB">
        <w:rPr>
          <w:rFonts w:ascii="Palatino Linotype" w:hAnsi="Palatino Linotype" w:cstheme="majorBidi"/>
          <w:b/>
          <w:lang w:val="en"/>
        </w:rPr>
        <w:t>Terminology</w:t>
      </w:r>
    </w:p>
    <w:p w14:paraId="25CD1B97" w14:textId="77777777" w:rsidR="00B6232B" w:rsidRPr="00A34ABB" w:rsidRDefault="00B6232B" w:rsidP="00A34ABB">
      <w:pPr>
        <w:spacing w:after="0" w:line="240" w:lineRule="auto"/>
        <w:ind w:firstLine="567"/>
        <w:jc w:val="both"/>
        <w:rPr>
          <w:rFonts w:ascii="Palatino Linotype" w:eastAsia="SimSun" w:hAnsi="Palatino Linotype" w:cstheme="majorBidi"/>
          <w:lang w:eastAsia="zh-CN"/>
        </w:rPr>
      </w:pPr>
      <w:r w:rsidRPr="00A34ABB">
        <w:rPr>
          <w:rFonts w:ascii="Palatino Linotype" w:eastAsia="SimSun" w:hAnsi="Palatino Linotype" w:cstheme="majorBidi"/>
          <w:lang w:val="en" w:eastAsia="zh-CN"/>
        </w:rPr>
        <w:t xml:space="preserve">The views of experts regarding the terminology of simple lawsuits vary, </w:t>
      </w:r>
      <w:proofErr w:type="spellStart"/>
      <w:r w:rsidRPr="00A34ABB">
        <w:rPr>
          <w:rFonts w:ascii="Palatino Linotype" w:eastAsia="SimSun" w:hAnsi="Palatino Linotype" w:cstheme="majorBidi"/>
          <w:lang w:val="en" w:eastAsia="zh-CN"/>
        </w:rPr>
        <w:t>Sudikno</w:t>
      </w:r>
      <w:proofErr w:type="spellEnd"/>
      <w:r w:rsidRPr="00A34ABB">
        <w:rPr>
          <w:rFonts w:ascii="Palatino Linotype" w:eastAsia="SimSun" w:hAnsi="Palatino Linotype" w:cstheme="majorBidi"/>
          <w:lang w:val="en" w:eastAsia="zh-CN"/>
        </w:rPr>
        <w:t xml:space="preserve"> </w:t>
      </w:r>
      <w:proofErr w:type="spellStart"/>
      <w:r w:rsidRPr="00A34ABB">
        <w:rPr>
          <w:rFonts w:ascii="Palatino Linotype" w:eastAsia="SimSun" w:hAnsi="Palatino Linotype" w:cstheme="majorBidi"/>
          <w:lang w:val="en" w:eastAsia="zh-CN"/>
        </w:rPr>
        <w:t>Mertokusumo</w:t>
      </w:r>
      <w:proofErr w:type="spellEnd"/>
      <w:r w:rsidRPr="00A34ABB">
        <w:rPr>
          <w:rFonts w:ascii="Palatino Linotype" w:eastAsia="SimSun" w:hAnsi="Palatino Linotype" w:cstheme="majorBidi"/>
          <w:lang w:val="en" w:eastAsia="zh-CN"/>
        </w:rPr>
        <w:t xml:space="preserve"> explained that simple terms, namely clear procedures, are easy to understand and not rigid. The simpler the formal data that a court hearing requires, the better. Not the other way around, namely the emergence of formalities that are difficult to understand, give rise to various interpretations, lack legal certainty, and cause fear of making noise before the courts. The Black Law Dictionary defines a simple lawsuit as "</w:t>
      </w:r>
      <w:r w:rsidRPr="00A34ABB">
        <w:rPr>
          <w:rFonts w:ascii="Palatino Linotype" w:eastAsia="SimSun" w:hAnsi="Palatino Linotype" w:cstheme="majorBidi"/>
          <w:vertAlign w:val="superscript"/>
          <w:lang w:val="en" w:eastAsia="zh-CN"/>
        </w:rPr>
        <w:footnoteReference w:id="13"/>
      </w:r>
      <w:r w:rsidRPr="00A34ABB">
        <w:rPr>
          <w:rFonts w:ascii="Palatino Linotype" w:eastAsia="SimSun" w:hAnsi="Palatino Linotype" w:cstheme="majorBidi"/>
          <w:lang w:val="en" w:eastAsia="zh-CN"/>
        </w:rPr>
        <w:t xml:space="preserve"> </w:t>
      </w:r>
      <w:r w:rsidRPr="00A34ABB">
        <w:rPr>
          <w:rFonts w:ascii="Palatino Linotype" w:eastAsia="SimSun" w:hAnsi="Palatino Linotype" w:cstheme="majorBidi"/>
          <w:i/>
          <w:lang w:val="en" w:eastAsia="zh-CN"/>
        </w:rPr>
        <w:t>a court that informally and expeditiously adjudicates claims that seek damages below a specified monetary amount, usu. Claims to collect small accounts or debts – also termed small-debts court; conciliation court.</w:t>
      </w:r>
      <w:r w:rsidRPr="00A34ABB">
        <w:rPr>
          <w:rFonts w:ascii="Palatino Linotype" w:eastAsia="SimSun" w:hAnsi="Palatino Linotype" w:cstheme="majorBidi"/>
          <w:i/>
          <w:vertAlign w:val="superscript"/>
          <w:lang w:val="en" w:eastAsia="zh-CN"/>
        </w:rPr>
        <w:footnoteReference w:id="14"/>
      </w:r>
      <w:r w:rsidRPr="00A34ABB">
        <w:rPr>
          <w:rFonts w:ascii="Palatino Linotype" w:eastAsia="SimSun" w:hAnsi="Palatino Linotype" w:cstheme="majorBidi"/>
          <w:lang w:val="en" w:eastAsia="zh-CN"/>
        </w:rPr>
        <w:t xml:space="preserve"> The description is that courts are informal (outside of the general mechanism) with a quick examination to make decisions on claims, losses, or debt receivables. A simple lawsuit can resolve a lawsuit case promptly, quickly, and cheaply and avoid complex and formal litigation. A simple lawsuit is a legal institution that is intended to provide a quick and economical solution to resolve disputes that do not require expensive costs.</w:t>
      </w:r>
      <w:r w:rsidRPr="00A34ABB">
        <w:rPr>
          <w:rFonts w:ascii="Palatino Linotype" w:eastAsia="SimSun" w:hAnsi="Palatino Linotype" w:cstheme="majorBidi"/>
          <w:vertAlign w:val="superscript"/>
          <w:lang w:val="en" w:eastAsia="zh-CN"/>
        </w:rPr>
        <w:footnoteReference w:id="15"/>
      </w:r>
      <w:r w:rsidRPr="00A34ABB">
        <w:rPr>
          <w:rFonts w:ascii="Palatino Linotype" w:eastAsia="SimSun" w:hAnsi="Palatino Linotype" w:cstheme="majorBidi"/>
          <w:lang w:eastAsia="zh-CN"/>
        </w:rPr>
        <w:t xml:space="preserve"> </w:t>
      </w:r>
      <w:r w:rsidRPr="00A34ABB">
        <w:rPr>
          <w:rFonts w:ascii="Palatino Linotype" w:hAnsi="Palatino Linotype" w:cstheme="majorBidi"/>
          <w:lang w:val="en"/>
        </w:rPr>
        <w:t>Dispute resolution in the practices known as two</w:t>
      </w:r>
      <w:r w:rsidRPr="00A34ABB">
        <w:rPr>
          <w:rFonts w:ascii="Palatino Linotype" w:hAnsi="Palatino Linotype" w:cstheme="majorBidi"/>
          <w:i/>
          <w:lang w:val="en"/>
        </w:rPr>
        <w:t xml:space="preserve"> systems</w:t>
      </w:r>
      <w:r w:rsidRPr="00A34ABB">
        <w:rPr>
          <w:rFonts w:ascii="Palatino Linotype" w:hAnsi="Palatino Linotype" w:cstheme="majorBidi"/>
          <w:lang w:val="en"/>
        </w:rPr>
        <w:t xml:space="preserve"> is a settlement in litigation and completion in non-litigation. </w:t>
      </w:r>
    </w:p>
    <w:p w14:paraId="48A84619" w14:textId="77777777" w:rsidR="00B6232B" w:rsidRPr="00A34ABB" w:rsidRDefault="00B6232B" w:rsidP="00A34ABB">
      <w:pPr>
        <w:pStyle w:val="ListParagraph"/>
        <w:spacing w:after="0" w:line="240" w:lineRule="auto"/>
        <w:ind w:left="0"/>
        <w:jc w:val="both"/>
        <w:rPr>
          <w:rFonts w:ascii="Palatino Linotype" w:hAnsi="Palatino Linotype" w:cstheme="majorBidi"/>
          <w:b/>
        </w:rPr>
      </w:pPr>
      <w:r w:rsidRPr="00A34ABB">
        <w:rPr>
          <w:rFonts w:ascii="Palatino Linotype" w:hAnsi="Palatino Linotype" w:cstheme="majorBidi"/>
          <w:b/>
          <w:lang w:val="en"/>
        </w:rPr>
        <w:t>Litigation Settlement</w:t>
      </w:r>
    </w:p>
    <w:p w14:paraId="7A96098A" w14:textId="1651E949" w:rsidR="00B6232B" w:rsidRPr="00A34ABB" w:rsidRDefault="00B6232B" w:rsidP="00A34ABB">
      <w:pPr>
        <w:pStyle w:val="ListParagraph"/>
        <w:spacing w:after="0" w:line="240" w:lineRule="auto"/>
        <w:ind w:left="0"/>
        <w:jc w:val="both"/>
        <w:rPr>
          <w:rFonts w:ascii="Palatino Linotype" w:hAnsi="Palatino Linotype" w:cstheme="majorBidi"/>
          <w:b/>
          <w:lang w:val="en-ID"/>
        </w:rPr>
      </w:pPr>
      <w:r w:rsidRPr="00A34ABB">
        <w:rPr>
          <w:rFonts w:ascii="Palatino Linotype" w:hAnsi="Palatino Linotype" w:cstheme="majorBidi"/>
          <w:lang w:val="en"/>
        </w:rPr>
        <w:t xml:space="preserve">Settlement litigation is the handling of cases or legal disputes using court lines. Munir </w:t>
      </w:r>
      <w:proofErr w:type="spellStart"/>
      <w:r w:rsidRPr="00A34ABB">
        <w:rPr>
          <w:rFonts w:ascii="Palatino Linotype" w:hAnsi="Palatino Linotype" w:cstheme="majorBidi"/>
          <w:lang w:val="en"/>
        </w:rPr>
        <w:t>Fuadi</w:t>
      </w:r>
      <w:proofErr w:type="spellEnd"/>
      <w:r w:rsidRPr="00A34ABB">
        <w:rPr>
          <w:rFonts w:ascii="Palatino Linotype" w:hAnsi="Palatino Linotype" w:cstheme="majorBidi"/>
          <w:lang w:val="en"/>
        </w:rPr>
        <w:t xml:space="preserve"> called it the conventional handling of cases using a court body that had been done hundreds of thousands of years ago.  But, the longer the court body, the more trapped in a juridical fortress that is difficult to penetrate by justice seekers (</w:t>
      </w:r>
      <w:proofErr w:type="spellStart"/>
      <w:r w:rsidRPr="00A34ABB">
        <w:rPr>
          <w:rFonts w:ascii="Palatino Linotype" w:hAnsi="Palatino Linotype" w:cstheme="majorBidi"/>
          <w:i/>
          <w:lang w:val="en"/>
        </w:rPr>
        <w:t>justiabelen</w:t>
      </w:r>
      <w:proofErr w:type="spellEnd"/>
      <w:r w:rsidRPr="00A34ABB">
        <w:rPr>
          <w:rFonts w:ascii="Palatino Linotype" w:hAnsi="Palatino Linotype" w:cstheme="majorBidi"/>
          <w:lang w:val="en"/>
        </w:rPr>
        <w:t xml:space="preserve">), especially by business people who </w:t>
      </w:r>
      <w:r w:rsidR="00102CDC">
        <w:rPr>
          <w:rFonts w:ascii="Palatino Linotype" w:hAnsi="Palatino Linotype" w:cstheme="majorBidi"/>
          <w:lang w:val="en"/>
        </w:rPr>
        <w:t>are concerned</w:t>
      </w:r>
      <w:r w:rsidRPr="00A34ABB">
        <w:rPr>
          <w:rFonts w:ascii="Palatino Linotype" w:hAnsi="Palatino Linotype" w:cstheme="majorBidi"/>
          <w:lang w:val="en"/>
        </w:rPr>
        <w:t xml:space="preserve"> with </w:t>
      </w:r>
      <w:r w:rsidRPr="00A34ABB">
        <w:rPr>
          <w:rFonts w:ascii="Palatino Linotype" w:hAnsi="Palatino Linotype" w:cstheme="majorBidi"/>
          <w:lang w:val="en"/>
        </w:rPr>
        <w:lastRenderedPageBreak/>
        <w:t>business disputes. Start thinking about other options to clear the case outside the court body.</w:t>
      </w:r>
      <w:r w:rsidRPr="00A34ABB">
        <w:rPr>
          <w:rStyle w:val="FootnoteReference"/>
          <w:rFonts w:ascii="Palatino Linotype" w:hAnsi="Palatino Linotype" w:cstheme="majorBidi"/>
          <w:lang w:val="en"/>
        </w:rPr>
        <w:footnoteReference w:id="16"/>
      </w:r>
    </w:p>
    <w:p w14:paraId="3270B26C" w14:textId="77777777" w:rsidR="00B6232B" w:rsidRPr="00A34ABB" w:rsidRDefault="00B6232B" w:rsidP="00A34ABB">
      <w:pPr>
        <w:pStyle w:val="ListParagraph"/>
        <w:spacing w:after="0" w:line="240" w:lineRule="auto"/>
        <w:ind w:left="0"/>
        <w:jc w:val="both"/>
        <w:rPr>
          <w:rFonts w:ascii="Palatino Linotype" w:hAnsi="Palatino Linotype" w:cstheme="majorBidi"/>
          <w:b/>
        </w:rPr>
      </w:pPr>
      <w:r w:rsidRPr="00A34ABB">
        <w:rPr>
          <w:rFonts w:ascii="Palatino Linotype" w:hAnsi="Palatino Linotype" w:cstheme="majorBidi"/>
          <w:b/>
          <w:i/>
          <w:lang w:val="en"/>
        </w:rPr>
        <w:t>Out-of-Court Settlement</w:t>
      </w:r>
    </w:p>
    <w:p w14:paraId="2879952E" w14:textId="77777777" w:rsidR="00B6232B" w:rsidRPr="00A34ABB" w:rsidRDefault="00B6232B" w:rsidP="00A34ABB">
      <w:pPr>
        <w:shd w:val="clear" w:color="auto" w:fill="FFFFFF"/>
        <w:spacing w:after="0" w:line="240" w:lineRule="auto"/>
        <w:ind w:firstLine="720"/>
        <w:jc w:val="both"/>
        <w:rPr>
          <w:rFonts w:ascii="Palatino Linotype" w:hAnsi="Palatino Linotype" w:cstheme="majorBidi"/>
          <w:lang w:val="en"/>
        </w:rPr>
      </w:pPr>
      <w:r w:rsidRPr="00A34ABB">
        <w:rPr>
          <w:rFonts w:ascii="Palatino Linotype" w:hAnsi="Palatino Linotype" w:cstheme="majorBidi"/>
          <w:lang w:val="en"/>
        </w:rPr>
        <w:t xml:space="preserve">Nonlitigation, both terms are linguistically composed of two words, namely, </w:t>
      </w:r>
      <w:r w:rsidRPr="00A34ABB">
        <w:rPr>
          <w:rFonts w:ascii="Palatino Linotype" w:hAnsi="Palatino Linotype" w:cstheme="majorBidi"/>
          <w:i/>
          <w:lang w:val="en"/>
        </w:rPr>
        <w:t>non</w:t>
      </w:r>
      <w:r w:rsidRPr="00A34ABB">
        <w:rPr>
          <w:rFonts w:ascii="Palatino Linotype" w:hAnsi="Palatino Linotype" w:cstheme="majorBidi"/>
          <w:lang w:val="en"/>
        </w:rPr>
        <w:t xml:space="preserve"> and litigation.  The origin of kata non is derived from the English</w:t>
      </w:r>
      <w:r w:rsidRPr="00A34ABB">
        <w:rPr>
          <w:rFonts w:ascii="Palatino Linotype" w:hAnsi="Palatino Linotype" w:cstheme="majorBidi"/>
          <w:i/>
          <w:lang w:val="en"/>
        </w:rPr>
        <w:t xml:space="preserve"> none</w:t>
      </w:r>
      <w:r w:rsidRPr="00A34ABB">
        <w:rPr>
          <w:rFonts w:ascii="Palatino Linotype" w:hAnsi="Palatino Linotype" w:cstheme="majorBidi"/>
          <w:lang w:val="en"/>
        </w:rPr>
        <w:t xml:space="preserve"> which means "no or reject".</w:t>
      </w:r>
      <w:r w:rsidRPr="00A34ABB">
        <w:rPr>
          <w:rStyle w:val="FootnoteReference"/>
          <w:rFonts w:ascii="Palatino Linotype" w:hAnsi="Palatino Linotype" w:cstheme="majorBidi"/>
          <w:lang w:val="en"/>
        </w:rPr>
        <w:footnoteReference w:id="17"/>
      </w:r>
      <w:r w:rsidRPr="00A34ABB">
        <w:rPr>
          <w:rFonts w:ascii="Palatino Linotype" w:hAnsi="Palatino Linotype" w:cstheme="majorBidi"/>
          <w:lang w:val="en"/>
        </w:rPr>
        <w:t xml:space="preserve"> The word non, then it has become an uptake word in the official Indonesian language (KBBI) which means "no or not". </w:t>
      </w:r>
      <w:r w:rsidRPr="00A34ABB">
        <w:rPr>
          <w:rStyle w:val="FootnoteReference"/>
          <w:rFonts w:ascii="Palatino Linotype" w:hAnsi="Palatino Linotype" w:cstheme="majorBidi"/>
          <w:lang w:val="en"/>
        </w:rPr>
        <w:footnoteReference w:id="18"/>
      </w:r>
      <w:r w:rsidRPr="00A34ABB">
        <w:rPr>
          <w:rFonts w:ascii="Palatino Linotype" w:hAnsi="Palatino Linotype" w:cstheme="majorBidi"/>
          <w:lang w:val="en"/>
        </w:rPr>
        <w:t xml:space="preserve"> The word litigation (</w:t>
      </w:r>
      <w:r w:rsidRPr="00A34ABB">
        <w:rPr>
          <w:rFonts w:ascii="Palatino Linotype" w:hAnsi="Palatino Linotype" w:cstheme="majorBidi"/>
          <w:i/>
          <w:lang w:val="en"/>
        </w:rPr>
        <w:t>litigation</w:t>
      </w:r>
      <w:r w:rsidRPr="00A34ABB">
        <w:rPr>
          <w:rFonts w:ascii="Palatino Linotype" w:hAnsi="Palatino Linotype" w:cstheme="majorBidi"/>
          <w:lang w:val="en"/>
        </w:rPr>
        <w:t xml:space="preserve">) is a court process or the course of a case. </w:t>
      </w:r>
      <w:r w:rsidRPr="00A34ABB">
        <w:rPr>
          <w:rStyle w:val="FootnoteReference"/>
          <w:rFonts w:ascii="Palatino Linotype" w:hAnsi="Palatino Linotype" w:cstheme="majorBidi"/>
          <w:lang w:val="en"/>
        </w:rPr>
        <w:footnoteReference w:id="19"/>
      </w:r>
      <w:r w:rsidRPr="00A34ABB">
        <w:rPr>
          <w:rFonts w:ascii="Palatino Linotype" w:hAnsi="Palatino Linotype" w:cstheme="majorBidi"/>
          <w:lang w:val="en"/>
        </w:rPr>
        <w:t xml:space="preserve"> </w:t>
      </w:r>
      <w:proofErr w:type="gramStart"/>
      <w:r w:rsidRPr="00A34ABB">
        <w:rPr>
          <w:rFonts w:ascii="Palatino Linotype" w:hAnsi="Palatino Linotype" w:cstheme="majorBidi"/>
          <w:lang w:val="en"/>
        </w:rPr>
        <w:t>So</w:t>
      </w:r>
      <w:proofErr w:type="gramEnd"/>
      <w:r w:rsidRPr="00A34ABB">
        <w:rPr>
          <w:rFonts w:ascii="Palatino Linotype" w:hAnsi="Palatino Linotype" w:cstheme="majorBidi"/>
          <w:lang w:val="en"/>
        </w:rPr>
        <w:t xml:space="preserve"> both terms can be interpreted as handling cases outside the court that are carried out peacefully.  In the context of legal science, nonlitigation is known as</w:t>
      </w:r>
      <w:r w:rsidRPr="00A34ABB">
        <w:rPr>
          <w:rFonts w:ascii="Palatino Linotype" w:hAnsi="Palatino Linotype" w:cstheme="majorBidi"/>
          <w:i/>
          <w:lang w:val="en"/>
        </w:rPr>
        <w:t xml:space="preserve"> Alternative Dispute Resolution </w:t>
      </w:r>
      <w:r w:rsidRPr="00A34ABB">
        <w:rPr>
          <w:rFonts w:ascii="Palatino Linotype" w:hAnsi="Palatino Linotype" w:cstheme="majorBidi"/>
          <w:lang w:val="en"/>
        </w:rPr>
        <w:t>(ADR).</w:t>
      </w:r>
      <w:r w:rsidRPr="00A34ABB">
        <w:rPr>
          <w:rStyle w:val="FootnoteReference"/>
          <w:rFonts w:ascii="Palatino Linotype" w:hAnsi="Palatino Linotype" w:cstheme="majorBidi"/>
          <w:lang w:val="en"/>
        </w:rPr>
        <w:footnoteReference w:id="20"/>
      </w:r>
    </w:p>
    <w:p w14:paraId="5B5CC52D" w14:textId="77777777" w:rsidR="00B6232B" w:rsidRPr="00A34ABB" w:rsidRDefault="00B6232B" w:rsidP="00A34ABB">
      <w:pPr>
        <w:pStyle w:val="ListParagraph"/>
        <w:spacing w:after="0" w:line="240" w:lineRule="auto"/>
        <w:ind w:left="0"/>
        <w:jc w:val="both"/>
        <w:rPr>
          <w:rFonts w:ascii="Palatino Linotype" w:hAnsi="Palatino Linotype" w:cstheme="majorBidi"/>
          <w:b/>
          <w:lang w:val="en-ID"/>
        </w:rPr>
      </w:pPr>
      <w:r w:rsidRPr="00A34ABB">
        <w:rPr>
          <w:rFonts w:ascii="Palatino Linotype" w:hAnsi="Palatino Linotype" w:cstheme="majorBidi"/>
          <w:b/>
          <w:lang w:val="en"/>
        </w:rPr>
        <w:t>Legal Base on Settlement of Disputes Non-Litigation</w:t>
      </w:r>
      <w:r w:rsidRPr="00A34ABB">
        <w:rPr>
          <w:rFonts w:ascii="Palatino Linotype" w:hAnsi="Palatino Linotype" w:cstheme="majorBidi"/>
          <w:b/>
          <w:lang w:val="en"/>
        </w:rPr>
        <w:tab/>
      </w:r>
    </w:p>
    <w:p w14:paraId="1105236C" w14:textId="77777777" w:rsidR="00B6232B" w:rsidRPr="00A34ABB" w:rsidRDefault="00B6232B" w:rsidP="00A34ABB">
      <w:pPr>
        <w:pStyle w:val="ListParagraph"/>
        <w:spacing w:after="0" w:line="240" w:lineRule="auto"/>
        <w:ind w:left="0" w:firstLine="567"/>
        <w:jc w:val="both"/>
        <w:rPr>
          <w:rFonts w:ascii="Palatino Linotype" w:hAnsi="Palatino Linotype" w:cstheme="majorBidi"/>
          <w:lang w:val="en-ID"/>
        </w:rPr>
      </w:pPr>
      <w:r w:rsidRPr="00A34ABB">
        <w:rPr>
          <w:rFonts w:ascii="Palatino Linotype" w:hAnsi="Palatino Linotype" w:cstheme="majorBidi"/>
          <w:lang w:val="en"/>
        </w:rPr>
        <w:t>The juridical dimension of resolving Sharia economic disputes in his time experienced a lot of development. It is characterized by the presence of:</w:t>
      </w:r>
    </w:p>
    <w:p w14:paraId="0D2C9212" w14:textId="77777777" w:rsidR="00B6232B" w:rsidRPr="00A34ABB" w:rsidRDefault="00B6232B" w:rsidP="00A34ABB">
      <w:pPr>
        <w:pStyle w:val="ListParagraph"/>
        <w:numPr>
          <w:ilvl w:val="0"/>
          <w:numId w:val="23"/>
        </w:numPr>
        <w:spacing w:after="0" w:line="240" w:lineRule="auto"/>
        <w:ind w:left="426" w:hanging="426"/>
        <w:jc w:val="both"/>
        <w:rPr>
          <w:rFonts w:ascii="Palatino Linotype" w:hAnsi="Palatino Linotype" w:cstheme="majorBidi"/>
          <w:lang w:val="en-ID"/>
        </w:rPr>
      </w:pPr>
      <w:r w:rsidRPr="00A34ABB">
        <w:rPr>
          <w:rFonts w:ascii="Palatino Linotype" w:hAnsi="Palatino Linotype" w:cstheme="majorBidi"/>
          <w:lang w:val="en"/>
        </w:rPr>
        <w:t>Law No. 30 of 1999 concerning Arbitration and Alternative Dispute Resolution (APS). LNRI 1999, Number 138. TLNRI, Number 3872. In this Law, it is more dominant to regulate arbitration, while the provisions regarding APS are not regulated in detail. The APS arrangement is contained in Article 1 number 10 and Article 6. There are only mentioned terms consultation, negotiation, mediation, conciliation, and expert assessment.</w:t>
      </w:r>
    </w:p>
    <w:p w14:paraId="01EC79FC" w14:textId="1FBE8C5B" w:rsidR="00B6232B" w:rsidRPr="00CF33A6" w:rsidRDefault="00B6232B" w:rsidP="00A34ABB">
      <w:pPr>
        <w:pStyle w:val="ListParagraph"/>
        <w:numPr>
          <w:ilvl w:val="0"/>
          <w:numId w:val="23"/>
        </w:numPr>
        <w:spacing w:after="0" w:line="240" w:lineRule="auto"/>
        <w:ind w:left="426" w:hanging="426"/>
        <w:jc w:val="both"/>
        <w:rPr>
          <w:rFonts w:ascii="Palatino Linotype" w:hAnsi="Palatino Linotype" w:cstheme="majorBidi"/>
          <w:lang w:val="en-ID"/>
        </w:rPr>
      </w:pPr>
      <w:r w:rsidRPr="00A34ABB">
        <w:rPr>
          <w:rFonts w:ascii="Palatino Linotype" w:hAnsi="Palatino Linotype" w:cstheme="majorBidi"/>
          <w:lang w:val="en"/>
        </w:rPr>
        <w:t>Islamic banking is regulated through Law No. 21 of 2008. LNRI 2008, Number 94. TLNRI, Number 4867. As contained in Article 55 paragraph (1) all handling of Islamic Banking disputes are handled by the court in the religious justice area.</w:t>
      </w:r>
      <w:r w:rsidRPr="00A34ABB">
        <w:rPr>
          <w:rStyle w:val="FootnoteReference"/>
          <w:rFonts w:ascii="Palatino Linotype" w:hAnsi="Palatino Linotype" w:cstheme="majorBidi"/>
          <w:lang w:val="en"/>
        </w:rPr>
        <w:footnoteReference w:id="21"/>
      </w:r>
      <w:r w:rsidRPr="00A34ABB">
        <w:rPr>
          <w:rFonts w:ascii="Palatino Linotype" w:hAnsi="Palatino Linotype" w:cstheme="majorBidi"/>
          <w:i/>
          <w:lang w:val="en"/>
        </w:rPr>
        <w:t xml:space="preserve"> Jo</w:t>
      </w:r>
      <w:r w:rsidRPr="00A34ABB">
        <w:rPr>
          <w:rFonts w:ascii="Palatino Linotype" w:hAnsi="Palatino Linotype" w:cstheme="majorBidi"/>
          <w:lang w:val="en"/>
        </w:rPr>
        <w:t>. Article 49 letter (</w:t>
      </w:r>
      <w:proofErr w:type="spellStart"/>
      <w:r w:rsidRPr="00A34ABB">
        <w:rPr>
          <w:rFonts w:ascii="Palatino Linotype" w:hAnsi="Palatino Linotype" w:cstheme="majorBidi"/>
          <w:lang w:val="en"/>
        </w:rPr>
        <w:t>i</w:t>
      </w:r>
      <w:proofErr w:type="spellEnd"/>
      <w:r w:rsidRPr="00A34ABB">
        <w:rPr>
          <w:rFonts w:ascii="Palatino Linotype" w:hAnsi="Palatino Linotype" w:cstheme="majorBidi"/>
          <w:lang w:val="en"/>
        </w:rPr>
        <w:t xml:space="preserve">) with the enactment of Law Number. 3 of 2006 concerning Religious Justice, LNRI of 2006, Number 22. TLNRI, Number 4611, unequivocally states: </w:t>
      </w:r>
    </w:p>
    <w:p w14:paraId="681069EC" w14:textId="159AE40B" w:rsidR="00B6232B" w:rsidRPr="00A34ABB" w:rsidRDefault="00B6232B" w:rsidP="00CF33A6">
      <w:pPr>
        <w:pStyle w:val="ListParagraph"/>
        <w:spacing w:before="120" w:after="120" w:line="240" w:lineRule="auto"/>
        <w:ind w:left="851"/>
        <w:jc w:val="both"/>
        <w:rPr>
          <w:rFonts w:ascii="Palatino Linotype" w:hAnsi="Palatino Linotype" w:cstheme="majorBidi"/>
        </w:rPr>
      </w:pPr>
      <w:r w:rsidRPr="00A34ABB">
        <w:rPr>
          <w:rFonts w:ascii="Palatino Linotype" w:hAnsi="Palatino Linotype" w:cstheme="majorBidi"/>
          <w:lang w:val="en"/>
        </w:rPr>
        <w:t xml:space="preserve">"Sharia Economic" is an activity carried out in </w:t>
      </w:r>
      <w:r w:rsidR="00102CDC">
        <w:rPr>
          <w:rFonts w:ascii="Palatino Linotype" w:hAnsi="Palatino Linotype" w:cstheme="majorBidi"/>
          <w:lang w:val="en"/>
        </w:rPr>
        <w:t>S</w:t>
      </w:r>
      <w:r w:rsidRPr="00A34ABB">
        <w:rPr>
          <w:rFonts w:ascii="Palatino Linotype" w:hAnsi="Palatino Linotype" w:cstheme="majorBidi"/>
          <w:lang w:val="en"/>
        </w:rPr>
        <w:t xml:space="preserve">haria theory including a. </w:t>
      </w:r>
      <w:r w:rsidR="00102CDC">
        <w:rPr>
          <w:rFonts w:ascii="Palatino Linotype" w:hAnsi="Palatino Linotype" w:cstheme="majorBidi"/>
          <w:lang w:val="en"/>
        </w:rPr>
        <w:t>S</w:t>
      </w:r>
      <w:r w:rsidRPr="00A34ABB">
        <w:rPr>
          <w:rFonts w:ascii="Palatino Linotype" w:hAnsi="Palatino Linotype" w:cstheme="majorBidi"/>
          <w:lang w:val="en"/>
        </w:rPr>
        <w:t>haria bank; b.</w:t>
      </w:r>
      <w:r w:rsidR="00102CDC">
        <w:rPr>
          <w:rFonts w:ascii="Palatino Linotype" w:hAnsi="Palatino Linotype" w:cstheme="majorBidi"/>
          <w:lang w:val="en"/>
        </w:rPr>
        <w:t xml:space="preserve"> S</w:t>
      </w:r>
      <w:r w:rsidRPr="00A34ABB">
        <w:rPr>
          <w:rFonts w:ascii="Palatino Linotype" w:hAnsi="Palatino Linotype" w:cstheme="majorBidi"/>
          <w:lang w:val="en"/>
        </w:rPr>
        <w:t xml:space="preserve">haria microfinance institution. c. </w:t>
      </w:r>
      <w:r w:rsidR="00102CDC">
        <w:rPr>
          <w:rFonts w:ascii="Palatino Linotype" w:hAnsi="Palatino Linotype" w:cstheme="majorBidi"/>
          <w:lang w:val="en"/>
        </w:rPr>
        <w:t>S</w:t>
      </w:r>
      <w:r w:rsidRPr="00A34ABB">
        <w:rPr>
          <w:rFonts w:ascii="Palatino Linotype" w:hAnsi="Palatino Linotype" w:cstheme="majorBidi"/>
          <w:lang w:val="en"/>
        </w:rPr>
        <w:t xml:space="preserve">haria insurance; d. </w:t>
      </w:r>
      <w:r w:rsidR="00102CDC">
        <w:rPr>
          <w:rFonts w:ascii="Palatino Linotype" w:hAnsi="Palatino Linotype" w:cstheme="majorBidi"/>
          <w:lang w:val="en"/>
        </w:rPr>
        <w:t>S</w:t>
      </w:r>
      <w:r w:rsidRPr="00A34ABB">
        <w:rPr>
          <w:rFonts w:ascii="Palatino Linotype" w:hAnsi="Palatino Linotype" w:cstheme="majorBidi"/>
          <w:lang w:val="en"/>
        </w:rPr>
        <w:t xml:space="preserve">haria reinsurance; e. </w:t>
      </w:r>
      <w:r w:rsidR="00102CDC">
        <w:rPr>
          <w:rFonts w:ascii="Palatino Linotype" w:hAnsi="Palatino Linotype" w:cstheme="majorBidi"/>
          <w:lang w:val="en"/>
        </w:rPr>
        <w:t>S</w:t>
      </w:r>
      <w:r w:rsidRPr="00A34ABB">
        <w:rPr>
          <w:rFonts w:ascii="Palatino Linotype" w:hAnsi="Palatino Linotype" w:cstheme="majorBidi"/>
          <w:lang w:val="en"/>
        </w:rPr>
        <w:t xml:space="preserve">haria mutual funds; f. </w:t>
      </w:r>
      <w:r w:rsidR="00102CDC">
        <w:rPr>
          <w:rFonts w:ascii="Palatino Linotype" w:hAnsi="Palatino Linotype" w:cstheme="majorBidi"/>
          <w:lang w:val="en"/>
        </w:rPr>
        <w:t>S</w:t>
      </w:r>
      <w:r w:rsidRPr="00A34ABB">
        <w:rPr>
          <w:rFonts w:ascii="Palatino Linotype" w:hAnsi="Palatino Linotype" w:cstheme="majorBidi"/>
          <w:lang w:val="en"/>
        </w:rPr>
        <w:t xml:space="preserve">haria bonds, as well as important </w:t>
      </w:r>
      <w:r w:rsidR="00102CDC">
        <w:rPr>
          <w:rFonts w:ascii="Palatino Linotype" w:hAnsi="Palatino Linotype" w:cstheme="majorBidi"/>
          <w:lang w:val="en"/>
        </w:rPr>
        <w:t>S</w:t>
      </w:r>
      <w:r w:rsidRPr="00A34ABB">
        <w:rPr>
          <w:rFonts w:ascii="Palatino Linotype" w:hAnsi="Palatino Linotype" w:cstheme="majorBidi"/>
          <w:lang w:val="en"/>
        </w:rPr>
        <w:t xml:space="preserve">haria medium-term letters; g. </w:t>
      </w:r>
      <w:r w:rsidR="00102CDC">
        <w:rPr>
          <w:rFonts w:ascii="Palatino Linotype" w:hAnsi="Palatino Linotype" w:cstheme="majorBidi"/>
          <w:lang w:val="en"/>
        </w:rPr>
        <w:t>S</w:t>
      </w:r>
      <w:r w:rsidRPr="00A34ABB">
        <w:rPr>
          <w:rFonts w:ascii="Palatino Linotype" w:hAnsi="Palatino Linotype" w:cstheme="majorBidi"/>
          <w:lang w:val="en"/>
        </w:rPr>
        <w:t>haria securities; h.</w:t>
      </w:r>
      <w:r w:rsidR="005A15EF">
        <w:rPr>
          <w:rFonts w:ascii="Palatino Linotype" w:hAnsi="Palatino Linotype" w:cstheme="majorBidi"/>
          <w:lang w:val="en"/>
        </w:rPr>
        <w:t xml:space="preserve"> </w:t>
      </w:r>
      <w:r w:rsidR="00102CDC">
        <w:rPr>
          <w:rFonts w:ascii="Palatino Linotype" w:hAnsi="Palatino Linotype" w:cstheme="majorBidi"/>
          <w:lang w:val="en"/>
        </w:rPr>
        <w:t>S</w:t>
      </w:r>
      <w:r w:rsidRPr="00A34ABB">
        <w:rPr>
          <w:rFonts w:ascii="Palatino Linotype" w:hAnsi="Palatino Linotype" w:cstheme="majorBidi"/>
          <w:lang w:val="en"/>
        </w:rPr>
        <w:t xml:space="preserve">haria </w:t>
      </w:r>
      <w:r w:rsidRPr="00A34ABB">
        <w:rPr>
          <w:rFonts w:ascii="Palatino Linotype" w:hAnsi="Palatino Linotype" w:cstheme="majorBidi"/>
          <w:lang w:val="en"/>
        </w:rPr>
        <w:lastRenderedPageBreak/>
        <w:t xml:space="preserve">funding; </w:t>
      </w:r>
      <w:proofErr w:type="spellStart"/>
      <w:r w:rsidRPr="00A34ABB">
        <w:rPr>
          <w:rFonts w:ascii="Palatino Linotype" w:hAnsi="Palatino Linotype" w:cstheme="majorBidi"/>
          <w:lang w:val="en"/>
        </w:rPr>
        <w:t>i</w:t>
      </w:r>
      <w:proofErr w:type="spellEnd"/>
      <w:r w:rsidRPr="00A34ABB">
        <w:rPr>
          <w:rFonts w:ascii="Palatino Linotype" w:hAnsi="Palatino Linotype" w:cstheme="majorBidi"/>
          <w:lang w:val="en"/>
        </w:rPr>
        <w:t xml:space="preserve">. </w:t>
      </w:r>
      <w:r w:rsidR="00102CDC">
        <w:rPr>
          <w:rFonts w:ascii="Palatino Linotype" w:hAnsi="Palatino Linotype" w:cstheme="majorBidi"/>
          <w:lang w:val="en"/>
        </w:rPr>
        <w:t>S</w:t>
      </w:r>
      <w:r w:rsidRPr="00A34ABB">
        <w:rPr>
          <w:rFonts w:ascii="Palatino Linotype" w:hAnsi="Palatino Linotype" w:cstheme="majorBidi"/>
          <w:lang w:val="en"/>
        </w:rPr>
        <w:t xml:space="preserve">haria pawnshop; j.  the pension costs of </w:t>
      </w:r>
      <w:r w:rsidR="00102CDC">
        <w:rPr>
          <w:rFonts w:ascii="Palatino Linotype" w:hAnsi="Palatino Linotype" w:cstheme="majorBidi"/>
          <w:lang w:val="en"/>
        </w:rPr>
        <w:t>S</w:t>
      </w:r>
      <w:r w:rsidRPr="00A34ABB">
        <w:rPr>
          <w:rFonts w:ascii="Palatino Linotype" w:hAnsi="Palatino Linotype" w:cstheme="majorBidi"/>
          <w:lang w:val="en"/>
        </w:rPr>
        <w:t xml:space="preserve">haria financial institutions; k. </w:t>
      </w:r>
      <w:r w:rsidR="00102CDC">
        <w:rPr>
          <w:rFonts w:ascii="Palatino Linotype" w:hAnsi="Palatino Linotype" w:cstheme="majorBidi"/>
          <w:lang w:val="en"/>
        </w:rPr>
        <w:t>S</w:t>
      </w:r>
      <w:r w:rsidRPr="00A34ABB">
        <w:rPr>
          <w:rFonts w:ascii="Palatino Linotype" w:hAnsi="Palatino Linotype" w:cstheme="majorBidi"/>
          <w:lang w:val="en"/>
        </w:rPr>
        <w:t>haria business".</w:t>
      </w:r>
    </w:p>
    <w:p w14:paraId="51404DA6" w14:textId="77777777" w:rsidR="00B6232B" w:rsidRPr="00A34ABB" w:rsidRDefault="00B6232B" w:rsidP="00A34ABB">
      <w:pPr>
        <w:pStyle w:val="ListParagraph"/>
        <w:numPr>
          <w:ilvl w:val="0"/>
          <w:numId w:val="23"/>
        </w:numPr>
        <w:spacing w:after="0" w:line="240" w:lineRule="auto"/>
        <w:ind w:left="426" w:hanging="568"/>
        <w:jc w:val="both"/>
        <w:rPr>
          <w:rFonts w:ascii="Palatino Linotype" w:hAnsi="Palatino Linotype" w:cstheme="majorBidi"/>
          <w:lang w:val="en-ID"/>
        </w:rPr>
      </w:pPr>
      <w:r w:rsidRPr="00A34ABB">
        <w:rPr>
          <w:rFonts w:ascii="Palatino Linotype" w:hAnsi="Palatino Linotype" w:cstheme="majorBidi"/>
          <w:lang w:val="en"/>
        </w:rPr>
        <w:t>Regarding the Judicial Power Law Number 48 of 2009. LNRI 2009, Number 157. TLNRI, Number 5076. In Article 10 paragraph (2) it is reported: "The provisions of examining the case being tried do not close the effort to resolve civil cases peacefully".</w:t>
      </w:r>
    </w:p>
    <w:p w14:paraId="2AEFBA57" w14:textId="77777777" w:rsidR="00B6232B" w:rsidRPr="00A34ABB" w:rsidRDefault="00B6232B" w:rsidP="00A34ABB">
      <w:pPr>
        <w:pStyle w:val="ListParagraph"/>
        <w:numPr>
          <w:ilvl w:val="0"/>
          <w:numId w:val="23"/>
        </w:numPr>
        <w:spacing w:after="0" w:line="240" w:lineRule="auto"/>
        <w:ind w:left="426" w:hanging="568"/>
        <w:jc w:val="both"/>
        <w:rPr>
          <w:rFonts w:ascii="Palatino Linotype" w:hAnsi="Palatino Linotype" w:cstheme="majorBidi"/>
          <w:lang w:val="en-ID"/>
        </w:rPr>
      </w:pPr>
      <w:r w:rsidRPr="00A34ABB">
        <w:rPr>
          <w:rFonts w:ascii="Palatino Linotype" w:hAnsi="Palatino Linotype" w:cstheme="majorBidi"/>
          <w:lang w:val="en"/>
        </w:rPr>
        <w:t>Law No. 8 of 1999 concerning Consumer Protection. LNRI 2009, Number 157. TLNRI, Number 5076. As written in Article 47 and Article 49 paragraph (1).</w:t>
      </w:r>
    </w:p>
    <w:p w14:paraId="49CC57B3" w14:textId="77777777" w:rsidR="00B6232B" w:rsidRPr="00A34ABB" w:rsidRDefault="00B6232B" w:rsidP="00A34ABB">
      <w:pPr>
        <w:pStyle w:val="ListParagraph"/>
        <w:numPr>
          <w:ilvl w:val="0"/>
          <w:numId w:val="23"/>
        </w:numPr>
        <w:spacing w:after="0" w:line="240" w:lineRule="auto"/>
        <w:ind w:left="426" w:hanging="568"/>
        <w:jc w:val="both"/>
        <w:rPr>
          <w:rFonts w:ascii="Palatino Linotype" w:hAnsi="Palatino Linotype" w:cstheme="majorBidi"/>
          <w:lang w:val="en-ID"/>
        </w:rPr>
      </w:pPr>
      <w:r w:rsidRPr="00A34ABB">
        <w:rPr>
          <w:rFonts w:ascii="Palatino Linotype" w:hAnsi="Palatino Linotype" w:cstheme="majorBidi"/>
          <w:lang w:val="en"/>
        </w:rPr>
        <w:t>The Supreme Court System Number 2 of 2015 concerning the "Simple Lawsuit Method". BNRI 2015 Number 1172.</w:t>
      </w:r>
    </w:p>
    <w:p w14:paraId="3F4D3B6E" w14:textId="77777777" w:rsidR="00B6232B" w:rsidRPr="00A34ABB" w:rsidRDefault="00B6232B" w:rsidP="00A34ABB">
      <w:pPr>
        <w:pStyle w:val="ListParagraph"/>
        <w:numPr>
          <w:ilvl w:val="0"/>
          <w:numId w:val="23"/>
        </w:numPr>
        <w:spacing w:after="0" w:line="240" w:lineRule="auto"/>
        <w:ind w:left="426" w:hanging="568"/>
        <w:jc w:val="both"/>
        <w:rPr>
          <w:rFonts w:ascii="Palatino Linotype" w:hAnsi="Palatino Linotype" w:cstheme="majorBidi"/>
          <w:lang w:val="en-ID"/>
        </w:rPr>
      </w:pPr>
      <w:r w:rsidRPr="00A34ABB">
        <w:rPr>
          <w:rFonts w:ascii="Palatino Linotype" w:hAnsi="Palatino Linotype" w:cstheme="majorBidi"/>
          <w:lang w:val="en"/>
        </w:rPr>
        <w:t xml:space="preserve">The Supreme Court system of the Republic of Indonesia Number 1 of 2016 concerning Mediation Procedures in the District Court. BNRI Year 2016 Number 175. </w:t>
      </w:r>
    </w:p>
    <w:p w14:paraId="10EDB6CB" w14:textId="77777777" w:rsidR="00B6232B" w:rsidRPr="00A34ABB" w:rsidRDefault="00B6232B" w:rsidP="00A34ABB">
      <w:pPr>
        <w:pStyle w:val="ListParagraph"/>
        <w:numPr>
          <w:ilvl w:val="0"/>
          <w:numId w:val="23"/>
        </w:numPr>
        <w:spacing w:after="0" w:line="240" w:lineRule="auto"/>
        <w:ind w:left="426" w:hanging="568"/>
        <w:jc w:val="both"/>
        <w:rPr>
          <w:rFonts w:ascii="Palatino Linotype" w:hAnsi="Palatino Linotype" w:cstheme="majorBidi"/>
          <w:lang w:val="en-ID"/>
        </w:rPr>
      </w:pPr>
      <w:r w:rsidRPr="00A34ABB">
        <w:rPr>
          <w:rFonts w:ascii="Palatino Linotype" w:hAnsi="Palatino Linotype" w:cstheme="majorBidi"/>
          <w:lang w:val="en"/>
        </w:rPr>
        <w:t xml:space="preserve">The Supreme Court system of the Republic of Indonesia Number 14 of 2016 concerning Methods of Handling Sharia Economic Cases. BNRI Year 2016 Number 2059. </w:t>
      </w:r>
    </w:p>
    <w:p w14:paraId="0A8A3655" w14:textId="77777777" w:rsidR="00B6232B" w:rsidRPr="00A34ABB" w:rsidRDefault="00B6232B" w:rsidP="00A34ABB">
      <w:pPr>
        <w:pStyle w:val="ListParagraph"/>
        <w:numPr>
          <w:ilvl w:val="0"/>
          <w:numId w:val="23"/>
        </w:numPr>
        <w:spacing w:after="0" w:line="240" w:lineRule="auto"/>
        <w:ind w:left="426" w:hanging="568"/>
        <w:jc w:val="both"/>
        <w:rPr>
          <w:rFonts w:ascii="Palatino Linotype" w:hAnsi="Palatino Linotype" w:cstheme="majorBidi"/>
          <w:lang w:val="en-ID"/>
        </w:rPr>
      </w:pPr>
      <w:r w:rsidRPr="00A34ABB">
        <w:rPr>
          <w:rFonts w:ascii="Palatino Linotype" w:hAnsi="Palatino Linotype" w:cstheme="majorBidi"/>
          <w:lang w:val="en"/>
        </w:rPr>
        <w:t xml:space="preserve">PBI No. 7/46/PBI/2005 concerning Jo. Banking Mediation. PBI Number 10/1/PBI/2008 concerning Improvements Regarding PBI Number 8/5/PBI/2006 concerning Banking Mediation, said that the requirements for collecting and distributing fees for banks that conduct business activities are based on understanding </w:t>
      </w:r>
      <w:r w:rsidRPr="00A34ABB">
        <w:rPr>
          <w:rFonts w:ascii="Palatino Linotype" w:hAnsi="Palatino Linotype" w:cstheme="majorBidi"/>
          <w:i/>
          <w:lang w:val="en"/>
        </w:rPr>
        <w:t>Sharia</w:t>
      </w:r>
      <w:r w:rsidRPr="00A34ABB">
        <w:rPr>
          <w:rFonts w:ascii="Palatino Linotype" w:hAnsi="Palatino Linotype" w:cstheme="majorBidi"/>
          <w:lang w:val="en"/>
        </w:rPr>
        <w:t>:</w:t>
      </w:r>
    </w:p>
    <w:p w14:paraId="73531146" w14:textId="77777777" w:rsidR="00B6232B" w:rsidRPr="00A34ABB" w:rsidRDefault="00B6232B" w:rsidP="00CF33A6">
      <w:pPr>
        <w:pStyle w:val="ListParagraph"/>
        <w:spacing w:before="120" w:after="120" w:line="240" w:lineRule="auto"/>
        <w:ind w:left="851"/>
        <w:jc w:val="both"/>
        <w:rPr>
          <w:rFonts w:ascii="Palatino Linotype" w:hAnsi="Palatino Linotype" w:cstheme="majorBidi"/>
          <w:lang w:val="en-ID"/>
        </w:rPr>
      </w:pPr>
      <w:r w:rsidRPr="00A34ABB">
        <w:rPr>
          <w:rFonts w:ascii="Palatino Linotype" w:hAnsi="Palatino Linotype" w:cstheme="majorBidi"/>
          <w:lang w:val="en"/>
        </w:rPr>
        <w:t>"General principles that meet the minimum requirements of this agreement, among others: the principle of transparency of products and services to achieve a Sharia Bank of integrity and trust; universal to all circles of society; prioritizing the resolution of disputes between banks and customers through deliberation; fairness and cost-effectiveness in dispute resolution through APS or Sharia arbitration."</w:t>
      </w:r>
    </w:p>
    <w:p w14:paraId="54CAA5B0" w14:textId="77777777" w:rsidR="00B6232B" w:rsidRPr="00A34ABB" w:rsidRDefault="00B6232B" w:rsidP="00A34ABB">
      <w:pPr>
        <w:pStyle w:val="ListParagraph"/>
        <w:numPr>
          <w:ilvl w:val="0"/>
          <w:numId w:val="23"/>
        </w:numPr>
        <w:spacing w:after="0" w:line="240" w:lineRule="auto"/>
        <w:ind w:left="426" w:hanging="426"/>
        <w:jc w:val="both"/>
        <w:rPr>
          <w:rFonts w:ascii="Palatino Linotype" w:hAnsi="Palatino Linotype" w:cstheme="majorBidi"/>
          <w:lang w:val="en-ID"/>
        </w:rPr>
      </w:pPr>
      <w:r w:rsidRPr="00A34ABB">
        <w:rPr>
          <w:rFonts w:ascii="Palatino Linotype" w:hAnsi="Palatino Linotype" w:cstheme="majorBidi"/>
          <w:lang w:val="en"/>
        </w:rPr>
        <w:t>Bank Indonesia System (PBI) Number 8/5/PBI/2006 concerning Jo. Banking Mediation</w:t>
      </w:r>
      <w:r w:rsidRPr="00A34ABB">
        <w:rPr>
          <w:rFonts w:ascii="Palatino Linotype" w:hAnsi="Palatino Linotype" w:cstheme="majorBidi"/>
          <w:i/>
          <w:lang w:val="en"/>
        </w:rPr>
        <w:t>.</w:t>
      </w:r>
      <w:r w:rsidRPr="00A34ABB">
        <w:rPr>
          <w:rFonts w:ascii="Palatino Linotype" w:hAnsi="Palatino Linotype" w:cstheme="majorBidi"/>
          <w:lang w:val="en"/>
        </w:rPr>
        <w:t xml:space="preserve">  PBI Number 10/1/PBI/2008 concerning Improvements regarding PBI Number 8/5/PBI/2006 concerning Banking Mediation:</w:t>
      </w:r>
    </w:p>
    <w:p w14:paraId="7D432321" w14:textId="77777777" w:rsidR="00B6232B" w:rsidRPr="00A34ABB" w:rsidRDefault="00B6232B" w:rsidP="00CF33A6">
      <w:pPr>
        <w:pStyle w:val="ListParagraph"/>
        <w:tabs>
          <w:tab w:val="left" w:pos="851"/>
        </w:tabs>
        <w:spacing w:before="120" w:after="120" w:line="240" w:lineRule="auto"/>
        <w:ind w:left="851"/>
        <w:jc w:val="both"/>
        <w:rPr>
          <w:rFonts w:ascii="Palatino Linotype" w:eastAsia="SimSun" w:hAnsi="Palatino Linotype" w:cstheme="majorBidi"/>
          <w:color w:val="000000"/>
        </w:rPr>
      </w:pPr>
      <w:r w:rsidRPr="00A34ABB">
        <w:rPr>
          <w:rFonts w:ascii="Palatino Linotype" w:hAnsi="Palatino Linotype" w:cstheme="majorBidi"/>
          <w:lang w:val="en"/>
        </w:rPr>
        <w:t>"</w:t>
      </w:r>
      <w:r w:rsidRPr="00A34ABB">
        <w:rPr>
          <w:rFonts w:ascii="Palatino Linotype" w:hAnsi="Palatino Linotype" w:cstheme="majorBidi"/>
          <w:color w:val="000000"/>
          <w:lang w:val="en"/>
        </w:rPr>
        <w:t>The implementation of the banking mediation function by Bank Indonesia is carried out by bringing together customers and banks to review the subject matter of the dispute to reach an agreement without any recommendation, nor a decision from Bank Indonesia. Thus, the banking mediation function implemented by Bank Indonesia is only limited to providing places, helping customers and banks to bring up the subject matter of disputes, providing resource persons, and seeking to reach a dispute resolution agreement between customers and banks".</w:t>
      </w:r>
    </w:p>
    <w:p w14:paraId="2390DD46" w14:textId="77777777" w:rsidR="00B6232B" w:rsidRPr="00A34ABB" w:rsidRDefault="00B6232B" w:rsidP="00A34ABB">
      <w:pPr>
        <w:pStyle w:val="ListParagraph"/>
        <w:numPr>
          <w:ilvl w:val="0"/>
          <w:numId w:val="23"/>
        </w:numPr>
        <w:spacing w:after="0" w:line="240" w:lineRule="auto"/>
        <w:ind w:left="426" w:hanging="426"/>
        <w:jc w:val="both"/>
        <w:rPr>
          <w:rFonts w:ascii="Palatino Linotype" w:hAnsi="Palatino Linotype" w:cstheme="majorBidi"/>
          <w:lang w:val="en-ID"/>
        </w:rPr>
      </w:pPr>
      <w:r w:rsidRPr="00A34ABB">
        <w:rPr>
          <w:rFonts w:ascii="Palatino Linotype" w:hAnsi="Palatino Linotype" w:cstheme="majorBidi"/>
          <w:lang w:val="en"/>
        </w:rPr>
        <w:t xml:space="preserve">Regulation of the Supreme Court of the Republic of Indonesia Number 4 of 2019 concerning Improvements regarding the Supreme Court System Number 2 of 2015 concerning how "Simple Methods of Handling Lawsuits". BNRI 2019 </w:t>
      </w:r>
      <w:r w:rsidRPr="00A34ABB">
        <w:rPr>
          <w:rFonts w:ascii="Palatino Linotype" w:hAnsi="Palatino Linotype" w:cstheme="majorBidi"/>
          <w:lang w:val="en"/>
        </w:rPr>
        <w:lastRenderedPageBreak/>
        <w:t>Number 942. The substance stipulates that the easy handling of charges is a procedure for review in the trial of civil charges using a material value of at most Rp</w:t>
      </w:r>
      <w:proofErr w:type="gramStart"/>
      <w:r w:rsidRPr="00A34ABB">
        <w:rPr>
          <w:rFonts w:ascii="Palatino Linotype" w:hAnsi="Palatino Linotype" w:cstheme="majorBidi"/>
          <w:lang w:val="en"/>
        </w:rPr>
        <w:t>500,000,000;-</w:t>
      </w:r>
      <w:proofErr w:type="gramEnd"/>
      <w:r w:rsidRPr="00A34ABB">
        <w:rPr>
          <w:rFonts w:ascii="Palatino Linotype" w:hAnsi="Palatino Linotype" w:cstheme="majorBidi"/>
          <w:lang w:val="en"/>
        </w:rPr>
        <w:t xml:space="preserve"> (five hundred million rupiah) will be cleared through procedures and evidence.  which is easy. (Article 1 number (1). Also, plaintiffs and defendants can use the administration of cases in court electronically the same on the regulation agreement (Article 6 A).</w:t>
      </w:r>
    </w:p>
    <w:p w14:paraId="2AAA7C87" w14:textId="77777777" w:rsidR="00B6232B" w:rsidRPr="00A34ABB" w:rsidRDefault="00B6232B" w:rsidP="00A34ABB">
      <w:pPr>
        <w:spacing w:after="0" w:line="240" w:lineRule="auto"/>
        <w:ind w:firstLine="426"/>
        <w:jc w:val="both"/>
        <w:rPr>
          <w:rFonts w:ascii="Palatino Linotype" w:hAnsi="Palatino Linotype" w:cstheme="majorBidi"/>
          <w:lang w:val="en"/>
        </w:rPr>
      </w:pPr>
      <w:r w:rsidRPr="00A34ABB">
        <w:rPr>
          <w:rFonts w:ascii="Palatino Linotype" w:hAnsi="Palatino Linotype" w:cstheme="majorBidi"/>
          <w:noProof/>
        </w:rPr>
        <w:t xml:space="preserve">Discourse </w:t>
      </w:r>
      <w:r w:rsidRPr="00A34ABB">
        <w:rPr>
          <w:rFonts w:ascii="Palatino Linotype" w:hAnsi="Palatino Linotype" w:cstheme="majorBidi"/>
          <w:lang w:val="en"/>
        </w:rPr>
        <w:t xml:space="preserve">necessity of institution </w:t>
      </w:r>
      <w:r w:rsidRPr="00A34ABB">
        <w:rPr>
          <w:rFonts w:ascii="Palatino Linotype" w:hAnsi="Palatino Linotype" w:cstheme="majorBidi"/>
          <w:i/>
          <w:lang w:val="en"/>
        </w:rPr>
        <w:t>peace</w:t>
      </w:r>
      <w:r w:rsidRPr="00A34ABB">
        <w:rPr>
          <w:rFonts w:ascii="Palatino Linotype" w:hAnsi="Palatino Linotype" w:cstheme="majorBidi"/>
          <w:lang w:val="en"/>
        </w:rPr>
        <w:t xml:space="preserve"> (peace) of era modern like moment I certainly have one conversation and desire that still Utopian, but already enter Wed deep region practical. By theorist, Handling case law economics sharia of deep Perspective law Islamic and Regulation that Occurred in Indonesia can describe schema bellow: </w:t>
      </w:r>
    </w:p>
    <w:p w14:paraId="34E73293" w14:textId="382C61FA" w:rsidR="00B6232B" w:rsidRPr="00461AE4" w:rsidRDefault="00772ECA" w:rsidP="00B6232B">
      <w:pPr>
        <w:shd w:val="clear" w:color="auto" w:fill="FFFFFF"/>
        <w:spacing w:line="240" w:lineRule="atLeast"/>
        <w:jc w:val="center"/>
        <w:rPr>
          <w:rFonts w:eastAsia="Times New Roman" w:cstheme="majorBidi"/>
          <w:iCs/>
          <w:color w:val="333333"/>
          <w:lang w:eastAsia="id-ID"/>
        </w:rPr>
      </w:pPr>
      <w:r w:rsidRPr="0083753E">
        <w:rPr>
          <w:rFonts w:ascii="Palatino Linotype" w:hAnsi="Palatino Linotype"/>
          <w:noProof/>
        </w:rPr>
        <w:drawing>
          <wp:inline distT="0" distB="0" distL="0" distR="0" wp14:anchorId="19B7906F" wp14:editId="20652555">
            <wp:extent cx="5040630" cy="2940368"/>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48C0433" w14:textId="28F8338A" w:rsidR="00B6232B" w:rsidRPr="00A34ABB" w:rsidRDefault="00A34ABB" w:rsidP="00A34ABB">
      <w:pPr>
        <w:spacing w:line="240" w:lineRule="atLeast"/>
        <w:contextualSpacing/>
        <w:jc w:val="center"/>
        <w:rPr>
          <w:rFonts w:ascii="Palatino Linotype" w:hAnsi="Palatino Linotype" w:cstheme="majorBidi"/>
          <w:lang w:val="en"/>
        </w:rPr>
      </w:pPr>
      <w:r w:rsidRPr="00A34ABB">
        <w:rPr>
          <w:rFonts w:ascii="Palatino Linotype" w:hAnsi="Palatino Linotype" w:cstheme="majorBidi"/>
          <w:lang w:val="en"/>
        </w:rPr>
        <w:t>Figure</w:t>
      </w:r>
      <w:r w:rsidR="00772ECA">
        <w:rPr>
          <w:rFonts w:ascii="Palatino Linotype" w:hAnsi="Palatino Linotype" w:cstheme="majorBidi"/>
          <w:lang w:val="en"/>
        </w:rPr>
        <w:t xml:space="preserve"> 1.1</w:t>
      </w:r>
      <w:r w:rsidRPr="00A34ABB">
        <w:rPr>
          <w:rFonts w:ascii="Palatino Linotype" w:hAnsi="Palatino Linotype" w:cstheme="majorBidi"/>
          <w:lang w:val="en"/>
        </w:rPr>
        <w:t xml:space="preserve">: </w:t>
      </w:r>
      <w:r w:rsidR="00CF33A6">
        <w:rPr>
          <w:rFonts w:ascii="Palatino Linotype" w:hAnsi="Palatino Linotype" w:cstheme="majorBidi"/>
          <w:lang w:val="en"/>
        </w:rPr>
        <w:t>Dispute Resolution Scheme</w:t>
      </w:r>
    </w:p>
    <w:p w14:paraId="077D44D6" w14:textId="7F75F7CC" w:rsidR="00B6232B" w:rsidRPr="00A34ABB" w:rsidRDefault="00B6232B" w:rsidP="00A34ABB">
      <w:pPr>
        <w:spacing w:line="240" w:lineRule="atLeast"/>
        <w:ind w:firstLine="567"/>
        <w:contextualSpacing/>
        <w:jc w:val="both"/>
        <w:rPr>
          <w:rFonts w:ascii="Palatino Linotype" w:hAnsi="Palatino Linotype" w:cstheme="majorBidi"/>
        </w:rPr>
      </w:pPr>
      <w:r w:rsidRPr="00A34ABB">
        <w:rPr>
          <w:rFonts w:ascii="Palatino Linotype" w:hAnsi="Palatino Linotype" w:cstheme="majorBidi"/>
          <w:lang w:val="en"/>
        </w:rPr>
        <w:t xml:space="preserve">Analyzing the above scheme, the management of </w:t>
      </w:r>
      <w:r w:rsidR="00EB2DD2">
        <w:rPr>
          <w:rFonts w:ascii="Palatino Linotype" w:hAnsi="Palatino Linotype" w:cstheme="majorBidi"/>
          <w:lang w:val="en"/>
        </w:rPr>
        <w:t>S</w:t>
      </w:r>
      <w:r w:rsidRPr="00A34ABB">
        <w:rPr>
          <w:rFonts w:ascii="Palatino Linotype" w:hAnsi="Palatino Linotype" w:cstheme="majorBidi"/>
          <w:lang w:val="en"/>
        </w:rPr>
        <w:t xml:space="preserve">haria economic law disputes uses many </w:t>
      </w:r>
      <w:r w:rsidRPr="00A34ABB">
        <w:rPr>
          <w:rFonts w:ascii="Palatino Linotype" w:hAnsi="Palatino Linotype" w:cstheme="majorBidi"/>
          <w:i/>
          <w:lang w:val="en"/>
        </w:rPr>
        <w:t>nonlitigation</w:t>
      </w:r>
      <w:r w:rsidRPr="00A34ABB">
        <w:rPr>
          <w:rFonts w:ascii="Palatino Linotype" w:hAnsi="Palatino Linotype" w:cstheme="majorBidi"/>
          <w:lang w:val="en"/>
        </w:rPr>
        <w:t xml:space="preserve"> institutions, namely an out-of-court settlement process that is adjusted to the substance of the contract. As explained in Article 55 paragraphs (2) a, b, and c of Law No. 21 of 2008 concerning Islamic Banking, states:</w:t>
      </w:r>
    </w:p>
    <w:p w14:paraId="6BC670C0" w14:textId="449484F7" w:rsidR="00B6232B" w:rsidRPr="00A34ABB" w:rsidRDefault="00B6232B" w:rsidP="008D1327">
      <w:pPr>
        <w:spacing w:before="120" w:after="120" w:line="240" w:lineRule="auto"/>
        <w:ind w:left="567"/>
        <w:jc w:val="both"/>
        <w:rPr>
          <w:rFonts w:ascii="Palatino Linotype" w:hAnsi="Palatino Linotype" w:cstheme="majorBidi"/>
        </w:rPr>
      </w:pPr>
      <w:r w:rsidRPr="00A34ABB">
        <w:rPr>
          <w:rFonts w:ascii="Palatino Linotype" w:hAnsi="Palatino Linotype" w:cstheme="majorBidi"/>
          <w:lang w:val="en"/>
        </w:rPr>
        <w:t>"</w:t>
      </w:r>
      <w:proofErr w:type="gramStart"/>
      <w:r w:rsidRPr="00A34ABB">
        <w:rPr>
          <w:rFonts w:ascii="Palatino Linotype" w:hAnsi="Palatino Linotype" w:cstheme="majorBidi"/>
          <w:lang w:val="en"/>
        </w:rPr>
        <w:t>dispute</w:t>
      </w:r>
      <w:proofErr w:type="gramEnd"/>
      <w:r w:rsidRPr="00A34ABB">
        <w:rPr>
          <w:rFonts w:ascii="Palatino Linotype" w:hAnsi="Palatino Linotype" w:cstheme="majorBidi"/>
          <w:lang w:val="en"/>
        </w:rPr>
        <w:t xml:space="preserve"> resolution is carried out by the contents of the Contract" as below: a) deliberations; b) banking mediation; c) regarding the National Sharia Arbitration Board (</w:t>
      </w:r>
      <w:proofErr w:type="spellStart"/>
      <w:r w:rsidRPr="00A34ABB">
        <w:rPr>
          <w:rFonts w:ascii="Palatino Linotype" w:hAnsi="Palatino Linotype" w:cstheme="majorBidi"/>
          <w:lang w:val="en"/>
        </w:rPr>
        <w:t>Basyarnas</w:t>
      </w:r>
      <w:proofErr w:type="spellEnd"/>
      <w:r w:rsidRPr="00A34ABB">
        <w:rPr>
          <w:rFonts w:ascii="Palatino Linotype" w:hAnsi="Palatino Linotype" w:cstheme="majorBidi"/>
          <w:lang w:val="en"/>
        </w:rPr>
        <w:t>) or other Arbitrate institutions; d) regarding the court in the general justice area.”</w:t>
      </w:r>
    </w:p>
    <w:p w14:paraId="57DB5445" w14:textId="77777777" w:rsidR="00B6232B" w:rsidRPr="00A34ABB" w:rsidRDefault="00B6232B" w:rsidP="00A34ABB">
      <w:pPr>
        <w:spacing w:line="240" w:lineRule="atLeast"/>
        <w:ind w:firstLine="567"/>
        <w:contextualSpacing/>
        <w:jc w:val="both"/>
        <w:rPr>
          <w:rFonts w:ascii="Palatino Linotype" w:hAnsi="Palatino Linotype" w:cstheme="majorBidi"/>
        </w:rPr>
      </w:pPr>
      <w:r w:rsidRPr="00A34ABB">
        <w:rPr>
          <w:rFonts w:ascii="Palatino Linotype" w:hAnsi="Palatino Linotype" w:cstheme="majorBidi"/>
          <w:lang w:val="en"/>
        </w:rPr>
        <w:t xml:space="preserve">The impact of the regulations issued from several agreements made is legally explained in Article 1338 paragraph (1) of the Civil Code.  All contracts that are made officially act as a law for those who do. A contract cannot be canceled if there is no agreement between two parties, or if there is an article of the same law declared sufficient.  The agreement not only contains matters that are certainly recognized but for all matters of a provision, required by propriety, habits, or </w:t>
      </w:r>
      <w:r w:rsidRPr="00A34ABB">
        <w:rPr>
          <w:rFonts w:ascii="Palatino Linotype" w:hAnsi="Palatino Linotype" w:cstheme="majorBidi"/>
          <w:lang w:val="en"/>
        </w:rPr>
        <w:lastRenderedPageBreak/>
        <w:t xml:space="preserve">legislation. </w:t>
      </w:r>
      <w:r w:rsidRPr="00A34ABB">
        <w:rPr>
          <w:rStyle w:val="FootnoteReference"/>
          <w:rFonts w:ascii="Palatino Linotype" w:hAnsi="Palatino Linotype" w:cstheme="majorBidi"/>
          <w:lang w:val="en"/>
        </w:rPr>
        <w:footnoteReference w:id="22"/>
      </w:r>
      <w:r w:rsidRPr="00A34ABB">
        <w:rPr>
          <w:rFonts w:ascii="Palatino Linotype" w:hAnsi="Palatino Linotype" w:cstheme="majorBidi"/>
          <w:lang w:val="en"/>
        </w:rPr>
        <w:t xml:space="preserve"> By</w:t>
      </w:r>
      <w:r w:rsidRPr="00A34ABB">
        <w:rPr>
          <w:rFonts w:ascii="Palatino Linotype" w:hAnsi="Palatino Linotype" w:cstheme="majorBidi"/>
          <w:bCs/>
          <w:lang w:val="en"/>
        </w:rPr>
        <w:t xml:space="preserve"> law, the resolution</w:t>
      </w:r>
      <w:r w:rsidRPr="00A34ABB">
        <w:rPr>
          <w:rFonts w:ascii="Palatino Linotype" w:hAnsi="Palatino Linotype" w:cstheme="majorBidi"/>
          <w:lang w:val="en"/>
        </w:rPr>
        <w:t xml:space="preserve"> of </w:t>
      </w:r>
      <w:r w:rsidRPr="00A34ABB">
        <w:rPr>
          <w:rFonts w:ascii="Palatino Linotype" w:hAnsi="Palatino Linotype" w:cstheme="majorBidi"/>
          <w:bCs/>
          <w:lang w:val="en"/>
        </w:rPr>
        <w:t>disputes by the content of</w:t>
      </w:r>
      <w:r w:rsidRPr="00A34ABB">
        <w:rPr>
          <w:rFonts w:ascii="Palatino Linotype" w:hAnsi="Palatino Linotype" w:cstheme="majorBidi"/>
          <w:lang w:val="en"/>
        </w:rPr>
        <w:t xml:space="preserve"> this </w:t>
      </w:r>
      <w:r w:rsidRPr="00A34ABB">
        <w:rPr>
          <w:rFonts w:ascii="Palatino Linotype" w:hAnsi="Palatino Linotype" w:cstheme="majorBidi"/>
          <w:bCs/>
          <w:lang w:val="en"/>
        </w:rPr>
        <w:t xml:space="preserve">agreement is the same as </w:t>
      </w:r>
      <w:r w:rsidRPr="00A34ABB">
        <w:rPr>
          <w:rFonts w:ascii="Palatino Linotype" w:hAnsi="Palatino Linotype" w:cstheme="majorBidi"/>
          <w:iCs/>
          <w:lang w:val="en"/>
        </w:rPr>
        <w:t>the principle of the agreement as stated in</w:t>
      </w:r>
      <w:r w:rsidRPr="00A34ABB">
        <w:rPr>
          <w:rFonts w:ascii="Palatino Linotype" w:hAnsi="Palatino Linotype" w:cstheme="majorBidi"/>
          <w:b/>
          <w:iCs/>
          <w:lang w:val="en"/>
        </w:rPr>
        <w:t xml:space="preserve"> Article 1338 of the Civil Code </w:t>
      </w:r>
      <w:r w:rsidRPr="00A34ABB">
        <w:rPr>
          <w:rFonts w:ascii="Palatino Linotype" w:hAnsi="Palatino Linotype" w:cstheme="majorBidi"/>
          <w:iCs/>
          <w:lang w:val="en"/>
        </w:rPr>
        <w:t>establishing: "</w:t>
      </w:r>
      <w:r w:rsidRPr="00A34ABB">
        <w:rPr>
          <w:rFonts w:ascii="Palatino Linotype" w:hAnsi="Palatino Linotype" w:cstheme="majorBidi"/>
          <w:lang w:val="en"/>
        </w:rPr>
        <w:t>All agreements made by the law apply as law to those who make it".</w:t>
      </w:r>
      <w:r w:rsidRPr="00A34ABB">
        <w:rPr>
          <w:rStyle w:val="FootnoteReference"/>
          <w:rFonts w:ascii="Palatino Linotype" w:hAnsi="Palatino Linotype" w:cstheme="majorBidi"/>
          <w:lang w:val="en"/>
        </w:rPr>
        <w:footnoteReference w:id="23"/>
      </w:r>
    </w:p>
    <w:p w14:paraId="143CD2A8" w14:textId="77777777" w:rsidR="00B6232B" w:rsidRPr="00A34ABB" w:rsidRDefault="00B6232B" w:rsidP="00A34ABB">
      <w:pPr>
        <w:spacing w:line="240" w:lineRule="atLeast"/>
        <w:ind w:firstLine="567"/>
        <w:contextualSpacing/>
        <w:jc w:val="both"/>
        <w:rPr>
          <w:rFonts w:ascii="Palatino Linotype" w:hAnsi="Palatino Linotype" w:cstheme="majorBidi"/>
          <w:color w:val="FF0000"/>
        </w:rPr>
      </w:pPr>
      <w:r w:rsidRPr="00A34ABB">
        <w:rPr>
          <w:rFonts w:ascii="Palatino Linotype" w:hAnsi="Palatino Linotype" w:cstheme="majorBidi"/>
          <w:bCs/>
          <w:lang w:val="en"/>
        </w:rPr>
        <w:t>Reviewing the regulation, some cases need to be studied by the parties concerned, namely regarding</w:t>
      </w:r>
      <w:r w:rsidRPr="00A34ABB">
        <w:rPr>
          <w:rFonts w:ascii="Palatino Linotype" w:hAnsi="Palatino Linotype" w:cstheme="majorBidi"/>
          <w:lang w:val="en"/>
        </w:rPr>
        <w:t xml:space="preserve"> "resolving disputes by the substance of the counter" and the selection of legal forums</w:t>
      </w:r>
      <w:r w:rsidRPr="00A34ABB">
        <w:rPr>
          <w:rFonts w:ascii="Palatino Linotype" w:hAnsi="Palatino Linotype" w:cstheme="majorBidi"/>
          <w:i/>
          <w:lang w:val="en"/>
        </w:rPr>
        <w:t xml:space="preserve"> (choice of forums)</w:t>
      </w:r>
      <w:r w:rsidRPr="00A34ABB">
        <w:rPr>
          <w:rFonts w:ascii="Palatino Linotype" w:hAnsi="Palatino Linotype" w:cstheme="majorBidi"/>
          <w:lang w:val="en"/>
        </w:rPr>
        <w:t xml:space="preserve"> for handling contract cases by agreements or agreements. The contract can only be terminated by the agreement of the parties or the provisions required by law.  The agreement must be carried out "in good faith" or</w:t>
      </w:r>
      <w:r w:rsidRPr="00A34ABB">
        <w:rPr>
          <w:rFonts w:ascii="Palatino Linotype" w:hAnsi="Palatino Linotype" w:cstheme="majorBidi"/>
          <w:b/>
          <w:lang w:val="en"/>
        </w:rPr>
        <w:t xml:space="preserve"> "</w:t>
      </w:r>
      <w:r w:rsidRPr="00A34ABB">
        <w:rPr>
          <w:rFonts w:ascii="Palatino Linotype" w:hAnsi="Palatino Linotype" w:cstheme="majorBidi"/>
          <w:b/>
          <w:bCs/>
          <w:i/>
          <w:lang w:val="en"/>
        </w:rPr>
        <w:t xml:space="preserve">Pacta Sunt </w:t>
      </w:r>
      <w:proofErr w:type="spellStart"/>
      <w:r w:rsidRPr="00A34ABB">
        <w:rPr>
          <w:rFonts w:ascii="Palatino Linotype" w:hAnsi="Palatino Linotype" w:cstheme="majorBidi"/>
          <w:b/>
          <w:bCs/>
          <w:i/>
          <w:lang w:val="en"/>
        </w:rPr>
        <w:t>Servanda</w:t>
      </w:r>
      <w:proofErr w:type="spellEnd"/>
      <w:r w:rsidRPr="00A34ABB">
        <w:rPr>
          <w:rFonts w:ascii="Palatino Linotype" w:hAnsi="Palatino Linotype" w:cstheme="majorBidi"/>
          <w:b/>
          <w:bCs/>
          <w:i/>
          <w:lang w:val="en"/>
        </w:rPr>
        <w:t xml:space="preserve">", </w:t>
      </w:r>
      <w:r w:rsidRPr="00A34ABB">
        <w:rPr>
          <w:rFonts w:ascii="Palatino Linotype" w:hAnsi="Palatino Linotype" w:cstheme="majorBidi"/>
          <w:bCs/>
          <w:lang w:val="en"/>
        </w:rPr>
        <w:t>meaning "</w:t>
      </w:r>
      <w:r w:rsidRPr="00A34ABB">
        <w:rPr>
          <w:rFonts w:ascii="Palatino Linotype" w:hAnsi="Palatino Linotype" w:cstheme="majorBidi"/>
          <w:b/>
          <w:bCs/>
          <w:lang w:val="en"/>
        </w:rPr>
        <w:t>the agreement of the parties must be abided".</w:t>
      </w:r>
      <w:r w:rsidRPr="00A34ABB">
        <w:rPr>
          <w:rFonts w:ascii="Palatino Linotype" w:hAnsi="Palatino Linotype" w:cstheme="majorBidi"/>
          <w:lang w:val="en"/>
        </w:rPr>
        <w:t xml:space="preserve"> </w:t>
      </w:r>
      <w:r w:rsidRPr="00A34ABB">
        <w:rPr>
          <w:rFonts w:ascii="Palatino Linotype" w:hAnsi="Palatino Linotype" w:cstheme="majorBidi"/>
          <w:bCs/>
          <w:lang w:val="en"/>
        </w:rPr>
        <w:t xml:space="preserve"> The enactment of the basis carries</w:t>
      </w:r>
      <w:r w:rsidRPr="00A34ABB">
        <w:rPr>
          <w:rFonts w:ascii="Palatino Linotype" w:hAnsi="Palatino Linotype" w:cstheme="majorBidi"/>
          <w:lang w:val="en"/>
        </w:rPr>
        <w:t xml:space="preserve"> the </w:t>
      </w:r>
      <w:r w:rsidRPr="00A34ABB">
        <w:rPr>
          <w:rFonts w:ascii="Palatino Linotype" w:hAnsi="Palatino Linotype" w:cstheme="majorBidi"/>
          <w:bCs/>
          <w:lang w:val="en"/>
        </w:rPr>
        <w:t>influence that the parties are required to comply with or accept</w:t>
      </w:r>
      <w:r w:rsidRPr="00A34ABB">
        <w:rPr>
          <w:rFonts w:ascii="Palatino Linotype" w:hAnsi="Palatino Linotype" w:cstheme="majorBidi"/>
          <w:lang w:val="en"/>
        </w:rPr>
        <w:t xml:space="preserve"> the </w:t>
      </w:r>
      <w:r w:rsidRPr="00A34ABB">
        <w:rPr>
          <w:rFonts w:ascii="Palatino Linotype" w:hAnsi="Palatino Linotype" w:cstheme="majorBidi"/>
          <w:bCs/>
          <w:lang w:val="en"/>
        </w:rPr>
        <w:t>agreement that has been made by the parties themselves.</w:t>
      </w:r>
      <w:r w:rsidRPr="00A34ABB">
        <w:rPr>
          <w:rStyle w:val="FootnoteReference"/>
          <w:rFonts w:ascii="Palatino Linotype" w:hAnsi="Palatino Linotype" w:cstheme="majorBidi"/>
          <w:bCs/>
          <w:lang w:val="en"/>
        </w:rPr>
        <w:footnoteReference w:id="24"/>
      </w:r>
      <w:r w:rsidRPr="00A34ABB">
        <w:rPr>
          <w:rFonts w:ascii="Palatino Linotype" w:hAnsi="Palatino Linotype" w:cstheme="majorBidi"/>
          <w:lang w:val="en"/>
        </w:rPr>
        <w:t xml:space="preserve"> Khalid’s confirmation of the contract is also regulated in Article 1332 of the Civil Code, namely: 1).  The ability between the parties, namely adults, is not under the ability; 3). About certain things, it means what is promised the rights and obligations of two parties if something arises; A halal reason, namely not violating laws and regulations.</w:t>
      </w:r>
      <w:r w:rsidRPr="00A34ABB">
        <w:rPr>
          <w:rStyle w:val="FootnoteReference"/>
          <w:rFonts w:ascii="Palatino Linotype" w:hAnsi="Palatino Linotype" w:cstheme="majorBidi"/>
          <w:lang w:val="en"/>
        </w:rPr>
        <w:footnoteReference w:id="25"/>
      </w:r>
    </w:p>
    <w:p w14:paraId="7C6A269B" w14:textId="6BB0595F" w:rsidR="00B6232B" w:rsidRPr="00A34ABB" w:rsidRDefault="00B6232B" w:rsidP="00A34ABB">
      <w:pPr>
        <w:spacing w:line="240" w:lineRule="atLeast"/>
        <w:ind w:firstLine="567"/>
        <w:jc w:val="both"/>
        <w:rPr>
          <w:rFonts w:ascii="Palatino Linotype" w:hAnsi="Palatino Linotype" w:cstheme="majorBidi"/>
        </w:rPr>
      </w:pPr>
      <w:r w:rsidRPr="00A34ABB">
        <w:rPr>
          <w:rFonts w:ascii="Palatino Linotype" w:hAnsi="Palatino Linotype" w:cstheme="majorBidi"/>
          <w:lang w:val="en"/>
        </w:rPr>
        <w:t xml:space="preserve">The provisions for dispute resolution of nonlitigation institutions above are also affirmed using alternative dispute resolution (APS), namely through the Arbitrate Institution (outside the General Court), as described in Article 1 paragraph (10) of Law Number 30 of 1999 concerning Arbitration and Alternative Dispute management: </w:t>
      </w:r>
      <w:r w:rsidRPr="00A34ABB">
        <w:rPr>
          <w:rStyle w:val="FootnoteReference"/>
          <w:rFonts w:ascii="Palatino Linotype" w:hAnsi="Palatino Linotype" w:cstheme="majorBidi"/>
          <w:lang w:val="en"/>
        </w:rPr>
        <w:footnoteReference w:id="26"/>
      </w:r>
    </w:p>
    <w:p w14:paraId="414264C8" w14:textId="77777777" w:rsidR="00B6232B" w:rsidRPr="00A34ABB" w:rsidRDefault="00B6232B" w:rsidP="00A34ABB">
      <w:pPr>
        <w:spacing w:line="240" w:lineRule="atLeast"/>
        <w:ind w:left="567"/>
        <w:jc w:val="both"/>
        <w:rPr>
          <w:rFonts w:ascii="Palatino Linotype" w:hAnsi="Palatino Linotype" w:cstheme="majorBidi"/>
        </w:rPr>
      </w:pPr>
      <w:r w:rsidRPr="00A34ABB">
        <w:rPr>
          <w:rFonts w:ascii="Palatino Linotype" w:hAnsi="Palatino Linotype" w:cstheme="majorBidi"/>
          <w:lang w:val="en"/>
        </w:rPr>
        <w:t>"Alternative Dispute Resolution is an institution of dispute resolution or dissent through procedures agreed upon by the parties, namely out-of-court settlement using consultation, negotiation, mediation, conciliation, or expert assessment".</w:t>
      </w:r>
    </w:p>
    <w:p w14:paraId="2F3C656D" w14:textId="7056AC34" w:rsidR="00B6232B" w:rsidRPr="00D70507" w:rsidRDefault="00B6232B" w:rsidP="00D70507">
      <w:pPr>
        <w:spacing w:after="0" w:line="240" w:lineRule="auto"/>
        <w:ind w:firstLine="567"/>
        <w:jc w:val="both"/>
        <w:rPr>
          <w:rFonts w:ascii="Palatino Linotype" w:hAnsi="Palatino Linotype" w:cstheme="majorBidi"/>
        </w:rPr>
      </w:pPr>
      <w:r w:rsidRPr="00D70507">
        <w:rPr>
          <w:rFonts w:ascii="Palatino Linotype" w:hAnsi="Palatino Linotype" w:cstheme="majorBidi"/>
          <w:bCs/>
          <w:lang w:val="en"/>
        </w:rPr>
        <w:t>The alternative process of dispute resolution (APS) or</w:t>
      </w:r>
      <w:r w:rsidRPr="00D70507">
        <w:rPr>
          <w:rFonts w:ascii="Palatino Linotype" w:hAnsi="Palatino Linotype" w:cstheme="majorBidi"/>
          <w:bCs/>
          <w:i/>
          <w:lang w:val="en"/>
        </w:rPr>
        <w:t xml:space="preserve"> Alternative Dispute Resolution (ADR), </w:t>
      </w:r>
      <w:r w:rsidRPr="00D70507">
        <w:rPr>
          <w:rFonts w:ascii="Palatino Linotype" w:hAnsi="Palatino Linotype" w:cstheme="majorBidi"/>
          <w:bCs/>
          <w:lang w:val="en"/>
        </w:rPr>
        <w:t xml:space="preserve">even if using language that is commonly used </w:t>
      </w:r>
      <w:r w:rsidRPr="00D70507">
        <w:rPr>
          <w:rFonts w:ascii="Palatino Linotype" w:hAnsi="Palatino Linotype" w:cstheme="majorBidi"/>
          <w:bCs/>
          <w:i/>
          <w:lang w:val="en"/>
        </w:rPr>
        <w:t xml:space="preserve">(holistic). </w:t>
      </w:r>
      <w:r w:rsidRPr="00D70507">
        <w:rPr>
          <w:rFonts w:ascii="Palatino Linotype" w:hAnsi="Palatino Linotype" w:cstheme="majorBidi"/>
          <w:lang w:val="en"/>
        </w:rPr>
        <w:t xml:space="preserve"> </w:t>
      </w:r>
      <w:r w:rsidR="00EB2DD2">
        <w:rPr>
          <w:rFonts w:ascii="Palatino Linotype" w:hAnsi="Palatino Linotype" w:cstheme="majorBidi"/>
          <w:bCs/>
          <w:lang w:val="en"/>
        </w:rPr>
        <w:t>However,</w:t>
      </w:r>
      <w:r w:rsidRPr="00D70507">
        <w:rPr>
          <w:rFonts w:ascii="Palatino Linotype" w:hAnsi="Palatino Linotype" w:cstheme="majorBidi"/>
          <w:bCs/>
          <w:lang w:val="en"/>
        </w:rPr>
        <w:t xml:space="preserve"> the concept of alternative dispute resolution (APS) cannot arbitrarily represent the integrity of the type and form of handling cases non-litigation, at least this opinion is based on several strong reasons.</w:t>
      </w:r>
      <w:r w:rsidRPr="00D70507">
        <w:rPr>
          <w:rStyle w:val="FootnoteReference"/>
          <w:rFonts w:ascii="Palatino Linotype" w:hAnsi="Palatino Linotype" w:cstheme="majorBidi"/>
          <w:bCs/>
          <w:lang w:val="en"/>
        </w:rPr>
        <w:footnoteReference w:id="27"/>
      </w:r>
      <w:r w:rsidRPr="00D70507">
        <w:rPr>
          <w:rFonts w:ascii="Palatino Linotype" w:hAnsi="Palatino Linotype" w:cstheme="majorBidi"/>
          <w:lang w:val="en"/>
        </w:rPr>
        <w:t xml:space="preserve"> The following in general, there are several forms and methods of</w:t>
      </w:r>
      <w:r w:rsidRPr="00D70507">
        <w:rPr>
          <w:rFonts w:ascii="Palatino Linotype" w:hAnsi="Palatino Linotype" w:cstheme="majorBidi"/>
          <w:i/>
          <w:lang w:val="en"/>
        </w:rPr>
        <w:t xml:space="preserve"> Alternative Dispute Resolution</w:t>
      </w:r>
      <w:r w:rsidRPr="00D70507">
        <w:rPr>
          <w:rFonts w:ascii="Palatino Linotype" w:hAnsi="Palatino Linotype" w:cstheme="majorBidi"/>
          <w:lang w:val="en"/>
        </w:rPr>
        <w:t xml:space="preserve"> (ADR).</w:t>
      </w:r>
      <w:r w:rsidR="00D70507" w:rsidRPr="00D70507">
        <w:rPr>
          <w:rFonts w:ascii="Palatino Linotype" w:hAnsi="Palatino Linotype" w:cstheme="majorBidi"/>
          <w:lang w:val="en"/>
        </w:rPr>
        <w:t xml:space="preserve"> </w:t>
      </w:r>
      <w:r w:rsidRPr="00D70507">
        <w:rPr>
          <w:rFonts w:ascii="Palatino Linotype" w:hAnsi="Palatino Linotype" w:cstheme="majorBidi"/>
          <w:b/>
          <w:lang w:val="en"/>
        </w:rPr>
        <w:lastRenderedPageBreak/>
        <w:t xml:space="preserve">Consultation. </w:t>
      </w:r>
      <w:r w:rsidRPr="00D70507">
        <w:rPr>
          <w:rFonts w:ascii="Palatino Linotype" w:hAnsi="Palatino Linotype" w:cstheme="majorBidi"/>
          <w:lang w:val="en"/>
        </w:rPr>
        <w:t>"Consultation activities are held to match the information between clients and legal counsel. A practice can be in the form of hiring a legal consultant for consultation or solving problems. In this case, the consultant is not dominant but only provides legal opinions that can later become a reference for the parties to the dispute".</w:t>
      </w:r>
      <w:r w:rsidRPr="00D70507">
        <w:rPr>
          <w:rStyle w:val="FootnoteReference"/>
          <w:rFonts w:ascii="Palatino Linotype" w:hAnsi="Palatino Linotype" w:cstheme="majorBidi"/>
          <w:lang w:val="en"/>
        </w:rPr>
        <w:footnoteReference w:id="28"/>
      </w:r>
      <w:r w:rsidRPr="00D70507">
        <w:rPr>
          <w:rFonts w:ascii="Palatino Linotype" w:hAnsi="Palatino Linotype" w:cstheme="majorBidi"/>
          <w:lang w:val="en"/>
        </w:rPr>
        <w:t xml:space="preserve"> </w:t>
      </w:r>
      <w:r w:rsidRPr="00D70507">
        <w:rPr>
          <w:rFonts w:ascii="Palatino Linotype" w:hAnsi="Palatino Linotype" w:cstheme="majorBidi"/>
          <w:b/>
          <w:lang w:val="en"/>
        </w:rPr>
        <w:t xml:space="preserve">Negotiations. </w:t>
      </w:r>
      <w:r w:rsidRPr="00D70507">
        <w:rPr>
          <w:rFonts w:ascii="Palatino Linotype" w:hAnsi="Palatino Linotype" w:cstheme="majorBidi"/>
          <w:lang w:val="en"/>
        </w:rPr>
        <w:t>"</w:t>
      </w:r>
      <w:r w:rsidRPr="00D70507">
        <w:rPr>
          <w:rFonts w:ascii="Palatino Linotype" w:hAnsi="Palatino Linotype" w:cstheme="majorBidi"/>
          <w:i/>
          <w:lang w:val="en"/>
        </w:rPr>
        <w:t>The</w:t>
      </w:r>
      <w:r w:rsidRPr="00D70507">
        <w:rPr>
          <w:rFonts w:ascii="Palatino Linotype" w:hAnsi="Palatino Linotype" w:cstheme="majorBidi"/>
          <w:lang w:val="en"/>
        </w:rPr>
        <w:t xml:space="preserve"> transaction system by peaceful deliberation is to reach an agreement between the parties.  Harmonization from both parties needs to be involved to obtain an agreement and accommodate various interests.  The involvement of third parties can involve "mediators" but have no authority to make decisions, or through "adjudicators" who have the authority to make decisions".</w:t>
      </w:r>
      <w:r w:rsidRPr="00D70507">
        <w:rPr>
          <w:rStyle w:val="FootnoteReference"/>
          <w:rFonts w:ascii="Palatino Linotype" w:hAnsi="Palatino Linotype" w:cstheme="majorBidi"/>
          <w:lang w:val="en"/>
        </w:rPr>
        <w:footnoteReference w:id="29"/>
      </w:r>
      <w:r w:rsidRPr="00D70507">
        <w:rPr>
          <w:rFonts w:ascii="Palatino Linotype" w:hAnsi="Palatino Linotype" w:cstheme="majorBidi"/>
          <w:lang w:val="en"/>
        </w:rPr>
        <w:t xml:space="preserve"> Negotiation is the bargaining process carried out by both parties in a compromising and flexible manner.</w:t>
      </w:r>
      <w:r w:rsidRPr="00D70507">
        <w:rPr>
          <w:rStyle w:val="FootnoteReference"/>
          <w:rFonts w:ascii="Palatino Linotype" w:hAnsi="Palatino Linotype" w:cstheme="majorBidi"/>
          <w:lang w:val="en"/>
        </w:rPr>
        <w:footnoteReference w:id="30"/>
      </w:r>
      <w:r w:rsidRPr="00D70507">
        <w:rPr>
          <w:rFonts w:ascii="Palatino Linotype" w:hAnsi="Palatino Linotype" w:cstheme="majorBidi"/>
          <w:lang w:val="en"/>
        </w:rPr>
        <w:t xml:space="preserve"> Broadly speaking, there are two forms of negotiation, including </w:t>
      </w:r>
      <w:r w:rsidRPr="00D70507">
        <w:rPr>
          <w:rFonts w:ascii="Palatino Linotype" w:hAnsi="Palatino Linotype" w:cstheme="majorBidi"/>
          <w:i/>
          <w:lang w:val="en"/>
        </w:rPr>
        <w:t xml:space="preserve">Positional Negotiation, </w:t>
      </w:r>
      <w:r w:rsidRPr="00D70507">
        <w:rPr>
          <w:rFonts w:ascii="Palatino Linotype" w:hAnsi="Palatino Linotype" w:cstheme="majorBidi"/>
          <w:lang w:val="en"/>
        </w:rPr>
        <w:t>which includes:</w:t>
      </w:r>
      <w:r w:rsidRPr="00D70507">
        <w:rPr>
          <w:rFonts w:ascii="Palatino Linotype" w:hAnsi="Palatino Linotype" w:cstheme="majorBidi"/>
          <w:i/>
        </w:rPr>
        <w:t xml:space="preserve"> </w:t>
      </w:r>
      <w:r w:rsidRPr="00D70507">
        <w:rPr>
          <w:rFonts w:ascii="Palatino Linotype" w:hAnsi="Palatino Linotype" w:cstheme="majorBidi"/>
          <w:lang w:val="en"/>
        </w:rPr>
        <w:t xml:space="preserve">the final value of the deal targeted; the existence of a bargaining system; </w:t>
      </w:r>
      <w:r w:rsidR="00EB2DD2">
        <w:rPr>
          <w:rFonts w:ascii="Palatino Linotype" w:hAnsi="Palatino Linotype" w:cstheme="majorBidi"/>
          <w:lang w:val="en"/>
        </w:rPr>
        <w:t xml:space="preserve">and </w:t>
      </w:r>
      <w:r w:rsidRPr="00D70507">
        <w:rPr>
          <w:rFonts w:ascii="Palatino Linotype" w:hAnsi="Palatino Linotype" w:cstheme="majorBidi"/>
          <w:lang w:val="en"/>
        </w:rPr>
        <w:t>the presence of a feeling of winning or losing;</w:t>
      </w:r>
      <w:r w:rsidRPr="00D70507">
        <w:rPr>
          <w:rFonts w:ascii="Palatino Linotype" w:hAnsi="Palatino Linotype" w:cstheme="majorBidi"/>
          <w:i/>
          <w:lang w:val="en"/>
        </w:rPr>
        <w:t xml:space="preserve"> </w:t>
      </w:r>
      <w:r w:rsidRPr="00D70507">
        <w:rPr>
          <w:rFonts w:ascii="Palatino Linotype" w:hAnsi="Palatino Linotype" w:cstheme="majorBidi"/>
          <w:lang w:val="en"/>
        </w:rPr>
        <w:t xml:space="preserve">Success is determined by the relationship between expectations and the final result that has previously been agreed upon. </w:t>
      </w:r>
      <w:r w:rsidRPr="00D70507">
        <w:rPr>
          <w:rFonts w:ascii="Palatino Linotype" w:hAnsi="Palatino Linotype" w:cstheme="majorBidi"/>
          <w:i/>
          <w:lang w:val="en"/>
        </w:rPr>
        <w:t>Interest-Based Negotiation (IBN)</w:t>
      </w:r>
      <w:r w:rsidRPr="00D70507">
        <w:rPr>
          <w:rFonts w:ascii="Palatino Linotype" w:hAnsi="Palatino Linotype" w:cstheme="majorBidi"/>
          <w:lang w:val="en"/>
        </w:rPr>
        <w:t>:</w:t>
      </w:r>
      <w:r w:rsidRPr="00D70507">
        <w:rPr>
          <w:rFonts w:ascii="Palatino Linotype" w:hAnsi="Palatino Linotype" w:cstheme="majorBidi"/>
          <w:i/>
        </w:rPr>
        <w:t xml:space="preserve"> </w:t>
      </w:r>
      <w:r w:rsidRPr="00D70507">
        <w:rPr>
          <w:rFonts w:ascii="Palatino Linotype" w:hAnsi="Palatino Linotype" w:cstheme="majorBidi"/>
          <w:lang w:val="en"/>
        </w:rPr>
        <w:t>identification of problems and expectations; sharing information about each other's expectations, unrest, and positions; Uncovering problems to obtain desires and expectations from both parties.</w:t>
      </w:r>
      <w:r w:rsidRPr="00D70507">
        <w:rPr>
          <w:rStyle w:val="FootnoteReference"/>
          <w:rFonts w:ascii="Palatino Linotype" w:hAnsi="Palatino Linotype" w:cstheme="majorBidi"/>
          <w:lang w:val="en"/>
        </w:rPr>
        <w:footnoteReference w:id="31"/>
      </w:r>
      <w:r w:rsidRPr="00D70507">
        <w:rPr>
          <w:rFonts w:ascii="Palatino Linotype" w:hAnsi="Palatino Linotype" w:cstheme="majorBidi"/>
          <w:lang w:val="en"/>
        </w:rPr>
        <w:t xml:space="preserve"> </w:t>
      </w:r>
      <w:r w:rsidRPr="00D70507">
        <w:rPr>
          <w:rFonts w:ascii="Palatino Linotype" w:hAnsi="Palatino Linotype" w:cstheme="majorBidi"/>
          <w:b/>
          <w:lang w:val="en"/>
        </w:rPr>
        <w:t xml:space="preserve">Mediation. </w:t>
      </w:r>
      <w:r w:rsidRPr="00D70507">
        <w:rPr>
          <w:rFonts w:ascii="Palatino Linotype" w:hAnsi="Palatino Linotype" w:cstheme="majorBidi"/>
          <w:lang w:val="en"/>
        </w:rPr>
        <w:t xml:space="preserve">"The process of negotiating the handling of cases (disputes), the "mediator" does not favor anyone, is neutral, does not cooperate, or obtains something profitable".  Mediation is a case-handling mechanism that includes mediators to help the parties to the dispute to obtain the handling of the case as stated in the agreement that has been agreed upon by the parties. party.  In mediation activities, the mediator serves as a mediator in case of information disbursement, describes the point of similarity of the conversation or opinion between the two parties, and seeks to limit the emergence of differences. Mediation especially can be used for the handling </w:t>
      </w:r>
      <w:r w:rsidRPr="00D70507">
        <w:rPr>
          <w:rFonts w:ascii="Palatino Linotype" w:hAnsi="Palatino Linotype" w:cstheme="majorBidi"/>
          <w:i/>
          <w:lang w:val="en"/>
        </w:rPr>
        <w:t>of cases outside the court (out-of-court settlement)</w:t>
      </w:r>
      <w:r w:rsidRPr="00D70507">
        <w:rPr>
          <w:rFonts w:ascii="Palatino Linotype" w:hAnsi="Palatino Linotype" w:cstheme="majorBidi"/>
          <w:lang w:val="en"/>
        </w:rPr>
        <w:t xml:space="preserve"> regarding civil disputes, as established in PBI Number 8/5/PBI/2006 through the "Banking Mediation Agency".</w:t>
      </w:r>
      <w:r w:rsidRPr="00D70507">
        <w:rPr>
          <w:rStyle w:val="FootnoteReference"/>
          <w:rFonts w:ascii="Palatino Linotype" w:hAnsi="Palatino Linotype" w:cstheme="majorBidi"/>
          <w:lang w:val="en"/>
        </w:rPr>
        <w:footnoteReference w:id="32"/>
      </w:r>
      <w:r w:rsidRPr="00D70507">
        <w:rPr>
          <w:rFonts w:ascii="Palatino Linotype" w:hAnsi="Palatino Linotype" w:cstheme="majorBidi"/>
          <w:lang w:val="en"/>
        </w:rPr>
        <w:t xml:space="preserve"> </w:t>
      </w:r>
      <w:r w:rsidRPr="00D70507">
        <w:rPr>
          <w:rFonts w:ascii="Palatino Linotype" w:hAnsi="Palatino Linotype" w:cstheme="majorBidi"/>
          <w:b/>
          <w:lang w:val="en"/>
        </w:rPr>
        <w:t xml:space="preserve">Conciliation. </w:t>
      </w:r>
      <w:r w:rsidRPr="00D70507">
        <w:rPr>
          <w:rFonts w:ascii="Palatino Linotype" w:hAnsi="Palatino Linotype" w:cstheme="majorBidi"/>
          <w:lang w:val="en"/>
        </w:rPr>
        <w:t>"Creating a misalignment of opinions, resolving a dispute by familial means with no sense of dispute in the court before the start of the trial where this is to avoid litigation.</w:t>
      </w:r>
      <w:r w:rsidRPr="00D70507">
        <w:rPr>
          <w:rStyle w:val="FootnoteReference"/>
          <w:rFonts w:ascii="Palatino Linotype" w:hAnsi="Palatino Linotype" w:cstheme="majorBidi"/>
          <w:lang w:val="en"/>
        </w:rPr>
        <w:footnoteReference w:id="33"/>
      </w:r>
      <w:r w:rsidRPr="00D70507">
        <w:rPr>
          <w:rFonts w:ascii="Palatino Linotype" w:hAnsi="Palatino Linotype" w:cstheme="majorBidi"/>
          <w:lang w:val="en"/>
        </w:rPr>
        <w:t xml:space="preserve"> Conciliation (Agreement) is an attempt to bring together the good faith of the warring parties to obtain a peace agreement over the dispute by including a third party (the conciliator).  Technically handled in a way: "Conciliator may propose </w:t>
      </w:r>
      <w:r w:rsidRPr="00D70507">
        <w:rPr>
          <w:rFonts w:ascii="Palatino Linotype" w:hAnsi="Palatino Linotype" w:cstheme="majorBidi"/>
          <w:lang w:val="en"/>
        </w:rPr>
        <w:lastRenderedPageBreak/>
        <w:t xml:space="preserve">opinions openly and without the tendency to anyone; Conciliators do not have the power to make a final decision on the disputed party, because the decision taken must have the consent of all parties to the dispute; The conciliator is a neutral third party and is accepted by the parties to the dispute".   </w:t>
      </w:r>
    </w:p>
    <w:p w14:paraId="3B0BD0A1" w14:textId="693E6BC2" w:rsidR="00B6232B" w:rsidRPr="00D70507" w:rsidRDefault="00B6232B" w:rsidP="00D70507">
      <w:pPr>
        <w:pStyle w:val="ListParagraph"/>
        <w:spacing w:after="0" w:line="240" w:lineRule="auto"/>
        <w:ind w:left="0"/>
        <w:jc w:val="both"/>
        <w:rPr>
          <w:rFonts w:ascii="Palatino Linotype" w:hAnsi="Palatino Linotype" w:cstheme="majorBidi"/>
        </w:rPr>
      </w:pPr>
      <w:r w:rsidRPr="00D70507">
        <w:rPr>
          <w:rFonts w:ascii="Palatino Linotype" w:hAnsi="Palatino Linotype" w:cstheme="majorBidi"/>
          <w:b/>
          <w:lang w:val="en"/>
        </w:rPr>
        <w:t xml:space="preserve">Expert Assessment. </w:t>
      </w:r>
      <w:r w:rsidRPr="00D70507">
        <w:rPr>
          <w:rFonts w:ascii="Palatino Linotype" w:hAnsi="Palatino Linotype" w:cstheme="majorBidi"/>
          <w:lang w:val="en"/>
        </w:rPr>
        <w:t>"All parties to an agreement, have the right to plead about the expert opinion of the Arbitrate Tribunal on certain legal cases based on the agreement of the parties".</w:t>
      </w:r>
      <w:r w:rsidRPr="00D70507">
        <w:rPr>
          <w:rStyle w:val="FootnoteReference"/>
          <w:rFonts w:ascii="Palatino Linotype" w:hAnsi="Palatino Linotype" w:cstheme="majorBidi"/>
          <w:lang w:val="en"/>
        </w:rPr>
        <w:footnoteReference w:id="34"/>
      </w:r>
      <w:r w:rsidR="009651BB">
        <w:rPr>
          <w:rFonts w:ascii="Palatino Linotype" w:hAnsi="Palatino Linotype" w:cstheme="majorBidi"/>
          <w:lang w:val="en"/>
        </w:rPr>
        <w:t xml:space="preserve">            </w:t>
      </w:r>
    </w:p>
    <w:p w14:paraId="4F4F75A6" w14:textId="5B3C98A6" w:rsidR="00B6232B" w:rsidRDefault="00B6232B" w:rsidP="00D70507">
      <w:pPr>
        <w:pStyle w:val="MadaniaHeading1"/>
        <w:spacing w:after="0" w:line="240" w:lineRule="auto"/>
        <w:ind w:firstLine="567"/>
        <w:jc w:val="both"/>
        <w:rPr>
          <w:rFonts w:ascii="Palatino Linotype" w:hAnsi="Palatino Linotype" w:cstheme="majorBidi"/>
          <w:b w:val="0"/>
          <w:color w:val="000000"/>
          <w:sz w:val="22"/>
          <w:szCs w:val="22"/>
          <w:lang w:val="en"/>
        </w:rPr>
      </w:pPr>
      <w:r w:rsidRPr="00D70507">
        <w:rPr>
          <w:rFonts w:ascii="Palatino Linotype" w:hAnsi="Palatino Linotype" w:cstheme="majorBidi"/>
          <w:b w:val="0"/>
          <w:sz w:val="22"/>
          <w:szCs w:val="22"/>
          <w:lang w:val="en"/>
        </w:rPr>
        <w:t>This regulation is the implementation of the duties of the Arbitrate Institution as mentioned in Article 1 paragraph 8 of Law Number 30 of 1999, the Arbitrate Institution is an institution appointed by the party with the dispute to submit a verdict on a particular dispute to the institution. Another is if a dispute arises in the future.</w:t>
      </w:r>
      <w:r w:rsidRPr="00D70507">
        <w:rPr>
          <w:rStyle w:val="FootnoteReference"/>
          <w:rFonts w:ascii="Palatino Linotype" w:hAnsi="Palatino Linotype" w:cstheme="majorBidi"/>
          <w:b w:val="0"/>
          <w:sz w:val="22"/>
          <w:szCs w:val="22"/>
          <w:lang w:val="en"/>
        </w:rPr>
        <w:footnoteReference w:id="35"/>
      </w:r>
      <w:r w:rsidRPr="00D70507">
        <w:rPr>
          <w:rFonts w:ascii="Palatino Linotype" w:hAnsi="Palatino Linotype" w:cstheme="majorBidi"/>
          <w:b w:val="0"/>
          <w:sz w:val="22"/>
          <w:szCs w:val="22"/>
          <w:lang w:val="en"/>
        </w:rPr>
        <w:t xml:space="preserve"> Studying how to resolve nonlitigation disputes in the context of this ADR has been by the development of law in Islamic economics and civil.  Statement of Court considered: "Considering" letter c asserts that people’s community requires an easier, shorter method of handling, and </w:t>
      </w:r>
      <w:r w:rsidRPr="00D70507">
        <w:rPr>
          <w:rFonts w:ascii="Palatino Linotype" w:hAnsi="Palatino Linotype" w:cstheme="majorBidi"/>
          <w:b w:val="0"/>
          <w:i/>
          <w:sz w:val="22"/>
          <w:szCs w:val="22"/>
          <w:lang w:val="en"/>
        </w:rPr>
        <w:t>relatively</w:t>
      </w:r>
      <w:r w:rsidRPr="00D70507">
        <w:rPr>
          <w:rFonts w:ascii="Palatino Linotype" w:hAnsi="Palatino Linotype" w:cstheme="majorBidi"/>
          <w:b w:val="0"/>
          <w:sz w:val="22"/>
          <w:szCs w:val="22"/>
          <w:lang w:val="en"/>
        </w:rPr>
        <w:t xml:space="preserve"> cheap prices, especially in legal relationships that are ordinary. </w:t>
      </w:r>
      <w:r w:rsidRPr="00D70507">
        <w:rPr>
          <w:rStyle w:val="FootnoteReference"/>
          <w:rFonts w:ascii="Palatino Linotype" w:hAnsi="Palatino Linotype" w:cstheme="majorBidi"/>
          <w:b w:val="0"/>
          <w:sz w:val="22"/>
          <w:szCs w:val="22"/>
          <w:lang w:val="en"/>
        </w:rPr>
        <w:footnoteReference w:id="36"/>
      </w:r>
      <w:r w:rsidRPr="00D70507">
        <w:rPr>
          <w:rFonts w:ascii="Palatino Linotype" w:hAnsi="Palatino Linotype" w:cstheme="majorBidi"/>
          <w:b w:val="0"/>
          <w:color w:val="000000"/>
          <w:sz w:val="22"/>
          <w:szCs w:val="22"/>
          <w:lang w:val="en"/>
        </w:rPr>
        <w:t xml:space="preserve"> Civil Code, Article 1365 regulates legal protection due to unlawful acts</w:t>
      </w:r>
      <w:r w:rsidRPr="00D70507">
        <w:rPr>
          <w:rFonts w:ascii="Palatino Linotype" w:hAnsi="Palatino Linotype" w:cstheme="majorBidi"/>
          <w:b w:val="0"/>
          <w:i/>
          <w:color w:val="000000"/>
          <w:sz w:val="22"/>
          <w:szCs w:val="22"/>
          <w:lang w:val="en"/>
        </w:rPr>
        <w:t xml:space="preserve"> (</w:t>
      </w:r>
      <w:proofErr w:type="spellStart"/>
      <w:r w:rsidRPr="00D70507">
        <w:rPr>
          <w:rFonts w:ascii="Palatino Linotype" w:hAnsi="Palatino Linotype" w:cstheme="majorBidi"/>
          <w:b w:val="0"/>
          <w:i/>
          <w:color w:val="000000"/>
          <w:sz w:val="22"/>
          <w:szCs w:val="22"/>
          <w:lang w:val="en"/>
        </w:rPr>
        <w:t>Onrechtmatige</w:t>
      </w:r>
      <w:proofErr w:type="spellEnd"/>
      <w:r w:rsidRPr="00D70507">
        <w:rPr>
          <w:rFonts w:ascii="Palatino Linotype" w:hAnsi="Palatino Linotype" w:cstheme="majorBidi"/>
          <w:b w:val="0"/>
          <w:i/>
          <w:color w:val="000000"/>
          <w:sz w:val="22"/>
          <w:szCs w:val="22"/>
          <w:lang w:val="en"/>
        </w:rPr>
        <w:t xml:space="preserve"> </w:t>
      </w:r>
      <w:proofErr w:type="spellStart"/>
      <w:r w:rsidRPr="00D70507">
        <w:rPr>
          <w:rFonts w:ascii="Palatino Linotype" w:hAnsi="Palatino Linotype" w:cstheme="majorBidi"/>
          <w:b w:val="0"/>
          <w:i/>
          <w:color w:val="000000"/>
          <w:sz w:val="22"/>
          <w:szCs w:val="22"/>
          <w:lang w:val="en"/>
        </w:rPr>
        <w:t>Daad</w:t>
      </w:r>
      <w:proofErr w:type="spellEnd"/>
      <w:r w:rsidRPr="00D70507">
        <w:rPr>
          <w:rFonts w:ascii="Palatino Linotype" w:hAnsi="Palatino Linotype" w:cstheme="majorBidi"/>
          <w:b w:val="0"/>
          <w:i/>
          <w:color w:val="000000"/>
          <w:sz w:val="22"/>
          <w:szCs w:val="22"/>
          <w:lang w:val="en"/>
        </w:rPr>
        <w:t>)</w:t>
      </w:r>
      <w:r w:rsidRPr="00D70507">
        <w:rPr>
          <w:rFonts w:ascii="Palatino Linotype" w:hAnsi="Palatino Linotype" w:cstheme="majorBidi"/>
          <w:b w:val="0"/>
          <w:color w:val="000000"/>
          <w:sz w:val="22"/>
          <w:szCs w:val="22"/>
          <w:lang w:val="en"/>
        </w:rPr>
        <w:t xml:space="preserve"> namely: "any action against the law </w:t>
      </w:r>
      <w:r w:rsidRPr="00D70507">
        <w:rPr>
          <w:rFonts w:ascii="Palatino Linotype" w:hAnsi="Palatino Linotype" w:cstheme="majorBidi"/>
          <w:b w:val="0"/>
          <w:iCs/>
          <w:color w:val="000000"/>
          <w:sz w:val="22"/>
          <w:szCs w:val="22"/>
          <w:lang w:val="en"/>
        </w:rPr>
        <w:t xml:space="preserve">(PMH) </w:t>
      </w:r>
      <w:r w:rsidRPr="00D70507">
        <w:rPr>
          <w:rFonts w:ascii="Palatino Linotype" w:hAnsi="Palatino Linotype" w:cstheme="majorBidi"/>
          <w:b w:val="0"/>
          <w:color w:val="000000"/>
          <w:sz w:val="22"/>
          <w:szCs w:val="22"/>
          <w:lang w:val="en"/>
        </w:rPr>
        <w:t>that brings harm to others, it is mandatory for the person to compensate". PMH elements, namely:</w:t>
      </w:r>
    </w:p>
    <w:p w14:paraId="492A0301" w14:textId="77777777" w:rsidR="00B6232B" w:rsidRPr="00D70507" w:rsidRDefault="00B6232B" w:rsidP="00D70507">
      <w:pPr>
        <w:pStyle w:val="MadaniaHeading1"/>
        <w:spacing w:after="0" w:line="240" w:lineRule="auto"/>
        <w:jc w:val="center"/>
        <w:rPr>
          <w:rFonts w:ascii="Palatino Linotype" w:hAnsi="Palatino Linotype" w:cstheme="majorBidi"/>
          <w:sz w:val="22"/>
          <w:szCs w:val="22"/>
          <w:lang w:val="en-US"/>
        </w:rPr>
      </w:pPr>
      <w:r w:rsidRPr="00D70507">
        <w:rPr>
          <w:rFonts w:ascii="Palatino Linotype" w:hAnsi="Palatino Linotype" w:cstheme="majorBidi"/>
          <w:noProof/>
          <w:color w:val="000000"/>
          <w:sz w:val="22"/>
          <w:szCs w:val="22"/>
        </w:rPr>
        <w:drawing>
          <wp:inline distT="0" distB="0" distL="0" distR="0" wp14:anchorId="4A1C15FB" wp14:editId="40F01C37">
            <wp:extent cx="4371124" cy="2173857"/>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7"/>
                    <pic:cNvPicPr>
                      <a:picLocks noChangeArrowheads="1"/>
                    </pic:cNvPicPr>
                  </pic:nvPicPr>
                  <pic:blipFill rotWithShape="1">
                    <a:blip r:embed="rId16" cstate="print">
                      <a:extLst>
                        <a:ext uri="{28A0092B-C50C-407E-A947-70E740481C1C}">
                          <a14:useLocalDpi xmlns:a14="http://schemas.microsoft.com/office/drawing/2010/main" val="0"/>
                        </a:ext>
                      </a:extLst>
                    </a:blip>
                    <a:srcRect l="-3309" r="-2088"/>
                    <a:stretch/>
                  </pic:blipFill>
                  <pic:spPr bwMode="auto">
                    <a:xfrm>
                      <a:off x="0" y="0"/>
                      <a:ext cx="4734237" cy="2354441"/>
                    </a:xfrm>
                    <a:prstGeom prst="rect">
                      <a:avLst/>
                    </a:prstGeom>
                    <a:noFill/>
                    <a:ln>
                      <a:noFill/>
                    </a:ln>
                    <a:extLst>
                      <a:ext uri="{53640926-AAD7-44D8-BBD7-CCE9431645EC}">
                        <a14:shadowObscured xmlns:a14="http://schemas.microsoft.com/office/drawing/2010/main"/>
                      </a:ext>
                    </a:extLst>
                  </pic:spPr>
                </pic:pic>
              </a:graphicData>
            </a:graphic>
          </wp:inline>
        </w:drawing>
      </w:r>
    </w:p>
    <w:p w14:paraId="2509667D" w14:textId="77777777" w:rsidR="00D70507" w:rsidRPr="00D70507" w:rsidRDefault="00D70507" w:rsidP="00D70507">
      <w:pPr>
        <w:pStyle w:val="MadaniaHeading1"/>
        <w:spacing w:after="0" w:line="240" w:lineRule="auto"/>
        <w:jc w:val="center"/>
        <w:rPr>
          <w:rFonts w:ascii="Palatino Linotype" w:hAnsi="Palatino Linotype" w:cstheme="majorBidi"/>
          <w:b w:val="0"/>
          <w:sz w:val="22"/>
          <w:szCs w:val="22"/>
          <w:lang w:val="en-US"/>
        </w:rPr>
      </w:pPr>
      <w:r w:rsidRPr="00D70507">
        <w:rPr>
          <w:rFonts w:ascii="Palatino Linotype" w:hAnsi="Palatino Linotype" w:cstheme="majorBidi"/>
          <w:b w:val="0"/>
          <w:sz w:val="22"/>
          <w:szCs w:val="22"/>
          <w:lang w:val="en"/>
        </w:rPr>
        <w:t>Figure 1.2. The plot of Sharia Economic Law Simple Lawsuit</w:t>
      </w:r>
    </w:p>
    <w:p w14:paraId="7E6C92AA" w14:textId="0C843893" w:rsidR="00B6232B" w:rsidRPr="00D70507" w:rsidRDefault="00B6232B" w:rsidP="00D70507">
      <w:pPr>
        <w:spacing w:after="0" w:line="240" w:lineRule="auto"/>
        <w:jc w:val="both"/>
        <w:rPr>
          <w:rFonts w:ascii="Palatino Linotype" w:hAnsi="Palatino Linotype" w:cstheme="majorBidi"/>
          <w:color w:val="000000"/>
          <w:lang w:val="en"/>
        </w:rPr>
      </w:pPr>
      <w:r w:rsidRPr="00D70507">
        <w:rPr>
          <w:rFonts w:ascii="Palatino Linotype" w:hAnsi="Palatino Linotype" w:cstheme="majorBidi"/>
          <w:i/>
          <w:iCs/>
          <w:color w:val="000000"/>
          <w:lang w:val="en"/>
        </w:rPr>
        <w:t>First</w:t>
      </w:r>
      <w:r w:rsidRPr="00D70507">
        <w:rPr>
          <w:rFonts w:ascii="Palatino Linotype" w:hAnsi="Palatino Linotype" w:cstheme="majorBidi"/>
          <w:color w:val="000000"/>
          <w:lang w:val="en"/>
        </w:rPr>
        <w:t xml:space="preserve">, it is mentioned </w:t>
      </w:r>
      <w:r w:rsidR="00EB2DD2">
        <w:rPr>
          <w:rFonts w:ascii="Palatino Linotype" w:hAnsi="Palatino Linotype" w:cstheme="majorBidi"/>
          <w:color w:val="000000"/>
          <w:lang w:val="en"/>
        </w:rPr>
        <w:t>that</w:t>
      </w:r>
      <w:r w:rsidRPr="00D70507">
        <w:rPr>
          <w:rFonts w:ascii="Palatino Linotype" w:hAnsi="Palatino Linotype" w:cstheme="majorBidi"/>
          <w:color w:val="000000"/>
          <w:lang w:val="en"/>
        </w:rPr>
        <w:t xml:space="preserve"> acts against the law if, violate the rights of others; there is a dispute, that violates decency and the principle of propriety that is considered either by society or the right to things.</w:t>
      </w:r>
      <w:r w:rsidRPr="00D70507">
        <w:rPr>
          <w:rFonts w:ascii="Palatino Linotype" w:hAnsi="Palatino Linotype" w:cstheme="majorBidi"/>
          <w:lang w:val="en"/>
        </w:rPr>
        <w:t xml:space="preserve"> </w:t>
      </w:r>
      <w:r w:rsidRPr="00D70507">
        <w:rPr>
          <w:rFonts w:ascii="Palatino Linotype" w:hAnsi="Palatino Linotype" w:cstheme="majorBidi"/>
          <w:i/>
          <w:color w:val="000000"/>
          <w:lang w:val="en"/>
        </w:rPr>
        <w:t>Second</w:t>
      </w:r>
      <w:r w:rsidRPr="00D70507">
        <w:rPr>
          <w:rFonts w:ascii="Palatino Linotype" w:hAnsi="Palatino Linotype" w:cstheme="majorBidi"/>
          <w:color w:val="000000"/>
          <w:lang w:val="en"/>
        </w:rPr>
        <w:t>, negligence can occur due to intentional (</w:t>
      </w:r>
      <w:proofErr w:type="spellStart"/>
      <w:r w:rsidRPr="00D70507">
        <w:rPr>
          <w:rFonts w:ascii="Palatino Linotype" w:hAnsi="Palatino Linotype" w:cstheme="majorBidi"/>
          <w:i/>
          <w:iCs/>
          <w:color w:val="000000"/>
          <w:lang w:val="en"/>
        </w:rPr>
        <w:t>opzet</w:t>
      </w:r>
      <w:proofErr w:type="spellEnd"/>
      <w:r w:rsidRPr="00D70507">
        <w:rPr>
          <w:rFonts w:ascii="Palatino Linotype" w:hAnsi="Palatino Linotype" w:cstheme="majorBidi"/>
          <w:i/>
          <w:iCs/>
          <w:color w:val="000000"/>
          <w:lang w:val="en"/>
        </w:rPr>
        <w:t xml:space="preserve"> </w:t>
      </w:r>
      <w:proofErr w:type="spellStart"/>
      <w:r w:rsidRPr="00D70507">
        <w:rPr>
          <w:rFonts w:ascii="Palatino Linotype" w:hAnsi="Palatino Linotype" w:cstheme="majorBidi"/>
          <w:i/>
          <w:iCs/>
          <w:color w:val="000000"/>
          <w:lang w:val="en"/>
        </w:rPr>
        <w:t>dolus</w:t>
      </w:r>
      <w:proofErr w:type="spellEnd"/>
      <w:r w:rsidRPr="00D70507">
        <w:rPr>
          <w:rFonts w:ascii="Palatino Linotype" w:hAnsi="Palatino Linotype" w:cstheme="majorBidi"/>
          <w:color w:val="000000"/>
          <w:lang w:val="en"/>
        </w:rPr>
        <w:t>) or lack of caution (</w:t>
      </w:r>
      <w:r w:rsidRPr="00D70507">
        <w:rPr>
          <w:rFonts w:ascii="Palatino Linotype" w:hAnsi="Palatino Linotype" w:cstheme="majorBidi"/>
          <w:i/>
          <w:iCs/>
          <w:color w:val="000000"/>
          <w:lang w:val="en"/>
        </w:rPr>
        <w:t>culpa</w:t>
      </w:r>
      <w:r w:rsidRPr="00D70507">
        <w:rPr>
          <w:rFonts w:ascii="Palatino Linotype" w:hAnsi="Palatino Linotype" w:cstheme="majorBidi"/>
          <w:color w:val="000000"/>
          <w:lang w:val="en"/>
        </w:rPr>
        <w:t xml:space="preserve">). </w:t>
      </w:r>
      <w:r w:rsidRPr="00D70507">
        <w:rPr>
          <w:rFonts w:ascii="Palatino Linotype" w:hAnsi="Palatino Linotype" w:cstheme="majorBidi"/>
          <w:i/>
          <w:color w:val="000000"/>
          <w:lang w:val="en"/>
        </w:rPr>
        <w:t>Third</w:t>
      </w:r>
      <w:r w:rsidRPr="00D70507">
        <w:rPr>
          <w:rFonts w:ascii="Palatino Linotype" w:hAnsi="Palatino Linotype" w:cstheme="majorBidi"/>
          <w:color w:val="000000"/>
          <w:lang w:val="en"/>
        </w:rPr>
        <w:t>, the problem caused by the act of defying the law is material, namely, a real problem felt against the law made by others, and the impact of</w:t>
      </w:r>
      <w:r w:rsidRPr="00D70507">
        <w:rPr>
          <w:rFonts w:ascii="Palatino Linotype" w:hAnsi="Palatino Linotype" w:cstheme="majorBidi"/>
          <w:i/>
          <w:color w:val="000000"/>
          <w:lang w:val="en"/>
        </w:rPr>
        <w:t xml:space="preserve"> immaterial</w:t>
      </w:r>
      <w:r w:rsidRPr="00D70507">
        <w:rPr>
          <w:rFonts w:ascii="Palatino Linotype" w:hAnsi="Palatino Linotype" w:cstheme="majorBidi"/>
          <w:lang w:val="en"/>
        </w:rPr>
        <w:t xml:space="preserve"> losses</w:t>
      </w:r>
      <w:r w:rsidRPr="00D70507">
        <w:rPr>
          <w:rFonts w:ascii="Palatino Linotype" w:hAnsi="Palatino Linotype" w:cstheme="majorBidi"/>
          <w:color w:val="000000"/>
          <w:lang w:val="en"/>
        </w:rPr>
        <w:t xml:space="preserve">. </w:t>
      </w:r>
      <w:r w:rsidRPr="00D70507">
        <w:rPr>
          <w:rFonts w:ascii="Palatino Linotype" w:hAnsi="Palatino Linotype" w:cstheme="majorBidi"/>
          <w:i/>
          <w:color w:val="000000"/>
          <w:lang w:val="en"/>
        </w:rPr>
        <w:t>Fourth</w:t>
      </w:r>
      <w:r w:rsidRPr="00D70507">
        <w:rPr>
          <w:rFonts w:ascii="Palatino Linotype" w:hAnsi="Palatino Linotype" w:cstheme="majorBidi"/>
          <w:color w:val="000000"/>
          <w:lang w:val="en"/>
        </w:rPr>
        <w:t xml:space="preserve">, to determine compensation </w:t>
      </w:r>
      <w:r w:rsidRPr="00D70507">
        <w:rPr>
          <w:rFonts w:ascii="Palatino Linotype" w:hAnsi="Palatino Linotype" w:cstheme="majorBidi"/>
          <w:color w:val="000000"/>
          <w:lang w:val="en"/>
        </w:rPr>
        <w:lastRenderedPageBreak/>
        <w:t>to people who carry out actions against the law, there needs to be proof of guilt and causality between actions against the law and losses.</w:t>
      </w:r>
      <w:r w:rsidRPr="00D70507">
        <w:rPr>
          <w:rStyle w:val="FootnoteReference"/>
          <w:rFonts w:ascii="Palatino Linotype" w:hAnsi="Palatino Linotype" w:cstheme="majorBidi"/>
          <w:color w:val="000000"/>
          <w:lang w:val="en"/>
        </w:rPr>
        <w:footnoteReference w:id="37"/>
      </w:r>
    </w:p>
    <w:p w14:paraId="26437FB1" w14:textId="77777777" w:rsidR="00B6232B" w:rsidRPr="00D70507" w:rsidRDefault="00B6232B" w:rsidP="00D70507">
      <w:pPr>
        <w:pStyle w:val="ListParagraph"/>
        <w:spacing w:after="0" w:line="240" w:lineRule="auto"/>
        <w:ind w:left="0"/>
        <w:jc w:val="both"/>
        <w:rPr>
          <w:rFonts w:ascii="Palatino Linotype" w:hAnsi="Palatino Linotype" w:cstheme="majorBidi"/>
          <w:b/>
        </w:rPr>
      </w:pPr>
      <w:r w:rsidRPr="00D70507">
        <w:rPr>
          <w:rFonts w:ascii="Palatino Linotype" w:hAnsi="Palatino Linotype" w:cstheme="majorBidi"/>
          <w:b/>
          <w:lang w:val="en"/>
        </w:rPr>
        <w:t>Standard Operating Procedures (SOP) for Resolving Objections to Simple Lawsuits</w:t>
      </w:r>
    </w:p>
    <w:p w14:paraId="06866D90" w14:textId="77777777" w:rsidR="00B6232B" w:rsidRPr="00D70507" w:rsidRDefault="00B6232B" w:rsidP="00D70507">
      <w:pPr>
        <w:spacing w:after="0" w:line="240" w:lineRule="auto"/>
        <w:ind w:firstLine="426"/>
        <w:jc w:val="both"/>
        <w:rPr>
          <w:rFonts w:ascii="Palatino Linotype" w:hAnsi="Palatino Linotype" w:cstheme="majorBidi"/>
        </w:rPr>
      </w:pPr>
      <w:r w:rsidRPr="00D70507">
        <w:rPr>
          <w:rFonts w:ascii="Palatino Linotype" w:hAnsi="Palatino Linotype" w:cstheme="majorBidi"/>
          <w:lang w:val="en"/>
        </w:rPr>
        <w:t>Regarding standard operating procedures (SOP) for handling objections to ordinary charge cases, technically regulator “</w:t>
      </w:r>
      <w:proofErr w:type="spellStart"/>
      <w:r w:rsidRPr="00D70507">
        <w:rPr>
          <w:rFonts w:ascii="Palatino Linotype" w:hAnsi="Palatino Linotype" w:cstheme="majorBidi"/>
          <w:lang w:val="en"/>
        </w:rPr>
        <w:t>Badilag</w:t>
      </w:r>
      <w:proofErr w:type="spellEnd"/>
      <w:r w:rsidRPr="00D70507">
        <w:rPr>
          <w:rFonts w:ascii="Palatino Linotype" w:hAnsi="Palatino Linotype" w:cstheme="majorBidi"/>
          <w:lang w:val="en"/>
        </w:rPr>
        <w:t xml:space="preserve">” </w:t>
      </w:r>
      <w:r w:rsidRPr="00D70507">
        <w:rPr>
          <w:rFonts w:ascii="Palatino Linotype" w:hAnsi="Palatino Linotype" w:cstheme="majorBidi"/>
          <w:noProof/>
          <w:lang w:val="en"/>
        </w:rPr>
        <w:t>Supreme Court</w:t>
      </w:r>
      <w:r w:rsidRPr="00D70507">
        <w:rPr>
          <w:rFonts w:ascii="Palatino Linotype" w:hAnsi="Palatino Linotype" w:cstheme="majorBidi"/>
          <w:lang w:val="en"/>
        </w:rPr>
        <w:t xml:space="preserve"> (MA) through PERMA RI explains several dimensions including: </w:t>
      </w:r>
      <w:r w:rsidRPr="00D70507">
        <w:rPr>
          <w:rStyle w:val="FootnoteReference"/>
          <w:rFonts w:ascii="Palatino Linotype" w:hAnsi="Palatino Linotype" w:cstheme="majorBidi"/>
          <w:lang w:val="en"/>
        </w:rPr>
        <w:footnoteReference w:id="38"/>
      </w:r>
    </w:p>
    <w:p w14:paraId="6E25F2FE" w14:textId="77777777" w:rsidR="00B6232B" w:rsidRPr="00D70507" w:rsidRDefault="00B6232B" w:rsidP="00D70507">
      <w:pPr>
        <w:pStyle w:val="ListParagraph"/>
        <w:spacing w:after="0" w:line="240" w:lineRule="auto"/>
        <w:ind w:left="0"/>
        <w:jc w:val="both"/>
        <w:rPr>
          <w:rFonts w:ascii="Palatino Linotype" w:hAnsi="Palatino Linotype" w:cstheme="majorBidi"/>
          <w:b/>
        </w:rPr>
      </w:pPr>
      <w:r w:rsidRPr="00D70507">
        <w:rPr>
          <w:rFonts w:ascii="Palatino Linotype" w:hAnsi="Palatino Linotype" w:cstheme="majorBidi"/>
          <w:b/>
          <w:lang w:val="en"/>
        </w:rPr>
        <w:t>Legal Basis</w:t>
      </w:r>
    </w:p>
    <w:p w14:paraId="40E7F7A1" w14:textId="77777777" w:rsidR="00B6232B" w:rsidRPr="00D70507" w:rsidRDefault="00B6232B" w:rsidP="00D70507">
      <w:pPr>
        <w:pStyle w:val="ListParagraph"/>
        <w:spacing w:after="0" w:line="240" w:lineRule="auto"/>
        <w:ind w:left="0"/>
        <w:jc w:val="both"/>
        <w:rPr>
          <w:rFonts w:ascii="Palatino Linotype" w:hAnsi="Palatino Linotype" w:cstheme="majorBidi"/>
          <w:lang w:val="en-ID"/>
        </w:rPr>
      </w:pPr>
      <w:r w:rsidRPr="00D70507">
        <w:rPr>
          <w:rFonts w:ascii="Palatino Linotype" w:hAnsi="Palatino Linotype" w:cstheme="majorBidi"/>
          <w:lang w:val="en"/>
        </w:rPr>
        <w:t xml:space="preserve">Supreme Court Regulation Number 2 of 2015 concerning Ordinary Dispute Handling Methods. BNRI 2015 Number 1172. Jo. Supreme Court Regulation Number 1 of 2016 concerning Mediation Mechanism in The District Court. BNRI Of 2016 Number 175. Jo. Supreme Court Regulation Number 14 of 2016 concerning the Method of </w:t>
      </w:r>
      <w:r w:rsidRPr="00D70507">
        <w:rPr>
          <w:rFonts w:ascii="Palatino Linotype" w:hAnsi="Palatino Linotype" w:cstheme="majorBidi"/>
          <w:i/>
          <w:lang w:val="en"/>
        </w:rPr>
        <w:t>Sharia</w:t>
      </w:r>
      <w:r w:rsidRPr="00D70507">
        <w:rPr>
          <w:rFonts w:ascii="Palatino Linotype" w:hAnsi="Palatino Linotype" w:cstheme="majorBidi"/>
          <w:lang w:val="en"/>
        </w:rPr>
        <w:t xml:space="preserve"> Economic Case. BNRI Year 2016 Number 2059. </w:t>
      </w:r>
    </w:p>
    <w:p w14:paraId="1E13B0FC" w14:textId="77777777" w:rsidR="00B6232B" w:rsidRPr="00D70507" w:rsidRDefault="00B6232B" w:rsidP="00D70507">
      <w:pPr>
        <w:pStyle w:val="ListParagraph"/>
        <w:spacing w:after="0" w:line="240" w:lineRule="auto"/>
        <w:ind w:left="0"/>
        <w:jc w:val="both"/>
        <w:rPr>
          <w:rFonts w:ascii="Palatino Linotype" w:hAnsi="Palatino Linotype" w:cstheme="majorBidi"/>
          <w:b/>
        </w:rPr>
      </w:pPr>
      <w:r w:rsidRPr="00D70507">
        <w:rPr>
          <w:rFonts w:ascii="Palatino Linotype" w:hAnsi="Palatino Linotype" w:cstheme="majorBidi"/>
          <w:b/>
          <w:lang w:val="en"/>
        </w:rPr>
        <w:t xml:space="preserve">Relevance </w:t>
      </w:r>
    </w:p>
    <w:p w14:paraId="747970AF" w14:textId="477B0936" w:rsidR="00B6232B" w:rsidRPr="00D70507" w:rsidRDefault="00B6232B" w:rsidP="00D70507">
      <w:pPr>
        <w:pStyle w:val="ListParagraph"/>
        <w:spacing w:after="0" w:line="240" w:lineRule="auto"/>
        <w:ind w:left="0"/>
        <w:jc w:val="both"/>
        <w:rPr>
          <w:rFonts w:ascii="Palatino Linotype" w:hAnsi="Palatino Linotype" w:cstheme="majorBidi"/>
          <w:lang w:val="en-ID"/>
        </w:rPr>
      </w:pPr>
      <w:r w:rsidRPr="00D70507">
        <w:rPr>
          <w:rFonts w:ascii="Palatino Linotype" w:hAnsi="Palatino Linotype" w:cstheme="majorBidi"/>
          <w:lang w:val="en"/>
        </w:rPr>
        <w:t>The relevance of the case can be seen from the Operational Standard pr</w:t>
      </w:r>
      <w:r w:rsidR="00EB2DD2">
        <w:rPr>
          <w:rFonts w:ascii="Palatino Linotype" w:hAnsi="Palatino Linotype" w:cstheme="majorBidi"/>
          <w:lang w:val="en"/>
        </w:rPr>
        <w:t>op</w:t>
      </w:r>
      <w:r w:rsidRPr="00D70507">
        <w:rPr>
          <w:rFonts w:ascii="Palatino Linotype" w:hAnsi="Palatino Linotype" w:cstheme="majorBidi"/>
          <w:lang w:val="en"/>
        </w:rPr>
        <w:t>osed by your (SOP) Pen Method again Indictment or Ordinary Case by the Sole Judge and Standard Case Tracking Information System (SIPP).</w:t>
      </w:r>
    </w:p>
    <w:p w14:paraId="71E4F22A" w14:textId="77777777" w:rsidR="00B6232B" w:rsidRPr="00D70507" w:rsidRDefault="00B6232B" w:rsidP="00D70507">
      <w:pPr>
        <w:pStyle w:val="ListParagraph"/>
        <w:spacing w:after="0" w:line="240" w:lineRule="auto"/>
        <w:ind w:left="0"/>
        <w:jc w:val="both"/>
        <w:rPr>
          <w:rFonts w:ascii="Palatino Linotype" w:hAnsi="Palatino Linotype" w:cstheme="majorBidi"/>
          <w:b/>
        </w:rPr>
      </w:pPr>
      <w:r w:rsidRPr="00D70507">
        <w:rPr>
          <w:rFonts w:ascii="Palatino Linotype" w:hAnsi="Palatino Linotype" w:cstheme="majorBidi"/>
          <w:b/>
          <w:lang w:val="en"/>
        </w:rPr>
        <w:t>Commemoration</w:t>
      </w:r>
    </w:p>
    <w:p w14:paraId="772B3A8D" w14:textId="77777777" w:rsidR="00B6232B" w:rsidRPr="00D70507" w:rsidRDefault="00B6232B" w:rsidP="00D70507">
      <w:pPr>
        <w:pStyle w:val="ListParagraph"/>
        <w:spacing w:after="0" w:line="240" w:lineRule="auto"/>
        <w:ind w:left="0"/>
        <w:jc w:val="both"/>
        <w:rPr>
          <w:rFonts w:ascii="Palatino Linotype" w:hAnsi="Palatino Linotype" w:cstheme="majorBidi"/>
          <w:lang w:val="en-ID"/>
        </w:rPr>
      </w:pPr>
      <w:r w:rsidRPr="00D70507">
        <w:rPr>
          <w:rFonts w:ascii="Palatino Linotype" w:hAnsi="Palatino Linotype" w:cstheme="majorBidi"/>
          <w:lang w:val="en"/>
        </w:rPr>
        <w:t>If the emergence of warnings with consequences, if SOP is not done, then the handling of a simple lawsuit will not be realized.</w:t>
      </w:r>
    </w:p>
    <w:p w14:paraId="507238D2" w14:textId="77777777" w:rsidR="00B6232B" w:rsidRPr="00D70507" w:rsidRDefault="00B6232B" w:rsidP="00D70507">
      <w:pPr>
        <w:pStyle w:val="ListParagraph"/>
        <w:spacing w:after="0" w:line="240" w:lineRule="auto"/>
        <w:ind w:left="0"/>
        <w:jc w:val="both"/>
        <w:rPr>
          <w:rFonts w:ascii="Palatino Linotype" w:hAnsi="Palatino Linotype" w:cstheme="majorBidi"/>
          <w:b/>
        </w:rPr>
      </w:pPr>
      <w:r w:rsidRPr="00D70507">
        <w:rPr>
          <w:rFonts w:ascii="Palatino Linotype" w:hAnsi="Palatino Linotype" w:cstheme="majorBidi"/>
          <w:b/>
          <w:lang w:val="en"/>
        </w:rPr>
        <w:t>Qualification of the Executor (KP)</w:t>
      </w:r>
    </w:p>
    <w:p w14:paraId="48FAA508" w14:textId="77777777" w:rsidR="00B6232B" w:rsidRPr="00D70507" w:rsidRDefault="00B6232B" w:rsidP="00D70507">
      <w:pPr>
        <w:pStyle w:val="ListParagraph"/>
        <w:spacing w:after="0" w:line="240" w:lineRule="auto"/>
        <w:ind w:left="0"/>
        <w:jc w:val="both"/>
        <w:rPr>
          <w:rFonts w:ascii="Palatino Linotype" w:hAnsi="Palatino Linotype" w:cstheme="majorBidi"/>
          <w:lang w:val="en-ID"/>
        </w:rPr>
      </w:pPr>
      <w:r w:rsidRPr="00D70507">
        <w:rPr>
          <w:rFonts w:ascii="Palatino Linotype" w:hAnsi="Palatino Linotype" w:cstheme="majorBidi"/>
          <w:lang w:val="en"/>
        </w:rPr>
        <w:t>Its benchmarks can be seen from various aspects, namely understanding of the processing of data, duties, and functions in the Committee of the Religious Court, the method of receiving and handling simple lawsuits in the Committee of the Religious Court, methods of trial handling cases or simple charges, and methods of filling out register books in the Committee.</w:t>
      </w:r>
    </w:p>
    <w:p w14:paraId="529A0E74" w14:textId="77777777" w:rsidR="00B6232B" w:rsidRPr="00D70507" w:rsidRDefault="00B6232B" w:rsidP="00D70507">
      <w:pPr>
        <w:pStyle w:val="ListParagraph"/>
        <w:spacing w:after="0" w:line="240" w:lineRule="auto"/>
        <w:ind w:left="0"/>
        <w:jc w:val="both"/>
        <w:rPr>
          <w:rFonts w:ascii="Palatino Linotype" w:hAnsi="Palatino Linotype" w:cstheme="majorBidi"/>
          <w:b/>
        </w:rPr>
      </w:pPr>
      <w:r w:rsidRPr="00D70507">
        <w:rPr>
          <w:rFonts w:ascii="Palatino Linotype" w:hAnsi="Palatino Linotype" w:cstheme="majorBidi"/>
          <w:b/>
          <w:lang w:val="en"/>
        </w:rPr>
        <w:t>Equipment</w:t>
      </w:r>
    </w:p>
    <w:p w14:paraId="7B295D37" w14:textId="77777777" w:rsidR="00B6232B" w:rsidRPr="00D70507" w:rsidRDefault="00B6232B" w:rsidP="00D70507">
      <w:pPr>
        <w:pStyle w:val="ListParagraph"/>
        <w:spacing w:after="0" w:line="240" w:lineRule="auto"/>
        <w:ind w:left="0"/>
        <w:jc w:val="both"/>
        <w:rPr>
          <w:rFonts w:ascii="Palatino Linotype" w:hAnsi="Palatino Linotype" w:cstheme="majorBidi"/>
        </w:rPr>
      </w:pPr>
      <w:r w:rsidRPr="00D70507">
        <w:rPr>
          <w:rFonts w:ascii="Palatino Linotype" w:hAnsi="Palatino Linotype" w:cstheme="majorBidi"/>
          <w:lang w:val="en"/>
        </w:rPr>
        <w:t>Equipment can at least be seen from the background memory stuffing, case folders, the main register book of ordinary indictment cases, and</w:t>
      </w:r>
      <w:r w:rsidRPr="00D70507">
        <w:rPr>
          <w:rFonts w:ascii="Palatino Linotype" w:hAnsi="Palatino Linotype" w:cstheme="majorBidi"/>
          <w:i/>
          <w:lang w:val="en"/>
        </w:rPr>
        <w:t xml:space="preserve"> computer devices, scanners</w:t>
      </w:r>
      <w:r w:rsidRPr="00D70507">
        <w:rPr>
          <w:rFonts w:ascii="Palatino Linotype" w:hAnsi="Palatino Linotype" w:cstheme="majorBidi"/>
          <w:lang w:val="en"/>
        </w:rPr>
        <w:t xml:space="preserve">, and </w:t>
      </w:r>
      <w:r w:rsidRPr="00D70507">
        <w:rPr>
          <w:rFonts w:ascii="Palatino Linotype" w:hAnsi="Palatino Linotype" w:cstheme="majorBidi"/>
          <w:i/>
          <w:lang w:val="en"/>
        </w:rPr>
        <w:t>printers</w:t>
      </w:r>
      <w:r w:rsidRPr="00D70507">
        <w:rPr>
          <w:rFonts w:ascii="Palatino Linotype" w:hAnsi="Palatino Linotype" w:cstheme="majorBidi"/>
          <w:lang w:val="en"/>
        </w:rPr>
        <w:t>.</w:t>
      </w:r>
    </w:p>
    <w:p w14:paraId="7CEA0874" w14:textId="77777777" w:rsidR="00B6232B" w:rsidRPr="00D70507" w:rsidRDefault="00B6232B" w:rsidP="00D70507">
      <w:pPr>
        <w:pStyle w:val="ListParagraph"/>
        <w:spacing w:after="0" w:line="240" w:lineRule="auto"/>
        <w:ind w:left="0"/>
        <w:jc w:val="both"/>
        <w:rPr>
          <w:rFonts w:ascii="Palatino Linotype" w:hAnsi="Palatino Linotype" w:cstheme="majorBidi"/>
          <w:b/>
        </w:rPr>
      </w:pPr>
      <w:r w:rsidRPr="00D70507">
        <w:rPr>
          <w:rFonts w:ascii="Palatino Linotype" w:hAnsi="Palatino Linotype" w:cstheme="majorBidi"/>
          <w:b/>
          <w:lang w:val="en"/>
        </w:rPr>
        <w:t>Recording and Data Collection (PP)</w:t>
      </w:r>
    </w:p>
    <w:p w14:paraId="3953458C" w14:textId="2BD7F435" w:rsidR="00B6232B" w:rsidRPr="00D70507" w:rsidRDefault="00B6232B" w:rsidP="00D70507">
      <w:pPr>
        <w:spacing w:after="0" w:line="240" w:lineRule="auto"/>
        <w:jc w:val="both"/>
        <w:rPr>
          <w:rFonts w:ascii="Palatino Linotype" w:hAnsi="Palatino Linotype" w:cstheme="majorBidi"/>
          <w:noProof/>
        </w:rPr>
      </w:pPr>
      <w:r w:rsidRPr="00D70507">
        <w:rPr>
          <w:rFonts w:ascii="Palatino Linotype" w:hAnsi="Palatino Linotype" w:cstheme="majorBidi"/>
          <w:lang w:val="en"/>
        </w:rPr>
        <w:t xml:space="preserve">Regarding recording and data collection, technically saved </w:t>
      </w:r>
      <w:r w:rsidRPr="00D70507">
        <w:rPr>
          <w:rFonts w:ascii="Palatino Linotype" w:hAnsi="Palatino Linotype" w:cstheme="majorBidi"/>
          <w:color w:val="000000"/>
          <w:lang w:val="en"/>
        </w:rPr>
        <w:t>as electronic and manual data.</w:t>
      </w:r>
      <w:r w:rsidRPr="00D70507">
        <w:rPr>
          <w:rFonts w:ascii="Palatino Linotype" w:hAnsi="Palatino Linotype" w:cstheme="majorBidi"/>
          <w:lang w:val="en"/>
        </w:rPr>
        <w:t xml:space="preserve"> </w:t>
      </w:r>
      <w:r w:rsidRPr="00D70507">
        <w:rPr>
          <w:rFonts w:ascii="Palatino Linotype" w:hAnsi="Palatino Linotype" w:cstheme="majorBidi"/>
          <w:color w:val="000000"/>
          <w:lang w:val="en"/>
        </w:rPr>
        <w:t xml:space="preserve"> As an overview can be studied in visualization the following link</w:t>
      </w:r>
      <w:r w:rsidR="00EB2DD2">
        <w:rPr>
          <w:rFonts w:ascii="Palatino Linotype" w:hAnsi="Palatino Linotype" w:cstheme="majorBidi"/>
          <w:color w:val="000000"/>
          <w:lang w:val="en"/>
        </w:rPr>
        <w:t xml:space="preserve">, </w:t>
      </w:r>
      <w:r w:rsidRPr="00D70507">
        <w:rPr>
          <w:rFonts w:ascii="Palatino Linotype" w:hAnsi="Palatino Linotype" w:cstheme="majorBidi"/>
          <w:lang w:val="en"/>
        </w:rPr>
        <w:t>also as described in the following Simple Lawsuit Pocket Book:</w:t>
      </w:r>
      <w:r w:rsidRPr="00D70507">
        <w:rPr>
          <w:rStyle w:val="FootnoteReference"/>
          <w:rFonts w:ascii="Palatino Linotype" w:hAnsi="Palatino Linotype" w:cstheme="majorBidi"/>
          <w:lang w:val="en"/>
        </w:rPr>
        <w:t xml:space="preserve"> </w:t>
      </w:r>
      <w:r w:rsidRPr="00D70507">
        <w:rPr>
          <w:rStyle w:val="FootnoteReference"/>
          <w:rFonts w:ascii="Palatino Linotype" w:hAnsi="Palatino Linotype" w:cstheme="majorBidi"/>
          <w:lang w:val="en"/>
        </w:rPr>
        <w:footnoteReference w:id="39"/>
      </w:r>
      <w:r w:rsidRPr="00D70507">
        <w:rPr>
          <w:rFonts w:ascii="Palatino Linotype" w:hAnsi="Palatino Linotype" w:cstheme="majorBidi"/>
          <w:noProof/>
        </w:rPr>
        <w:t xml:space="preserve"> </w:t>
      </w:r>
      <w:r w:rsidR="008D1327">
        <w:rPr>
          <w:rFonts w:ascii="Palatino Linotype" w:hAnsi="Palatino Linotype" w:cstheme="majorBidi"/>
          <w:noProof/>
        </w:rPr>
        <w:t>(Version Indonesian)</w:t>
      </w:r>
      <w:r w:rsidR="00EB2DD2">
        <w:rPr>
          <w:rFonts w:ascii="Palatino Linotype" w:hAnsi="Palatino Linotype" w:cstheme="majorBidi"/>
          <w:noProof/>
        </w:rPr>
        <w:t xml:space="preserve">; </w:t>
      </w:r>
      <w:r w:rsidR="00AB15B4">
        <w:rPr>
          <w:rFonts w:ascii="Palatino Linotype" w:hAnsi="Palatino Linotype" w:cstheme="majorBidi"/>
          <w:noProof/>
        </w:rPr>
        <w:t>“</w:t>
      </w:r>
      <w:hyperlink r:id="rId17" w:history="1">
        <w:r w:rsidR="00AB15B4" w:rsidRPr="001705BA">
          <w:rPr>
            <w:rStyle w:val="Hyperlink"/>
            <w:rFonts w:ascii="Palatino Linotype" w:hAnsi="Palatino Linotype" w:cstheme="majorBidi"/>
          </w:rPr>
          <w:t>https://putusan.mahkamahagung.go.id/pengadilan/mahkamah-agung/direktori/perdata-agama/ekonomi-syariah</w:t>
        </w:r>
      </w:hyperlink>
      <w:r w:rsidR="00EB2DD2" w:rsidRPr="00D70507">
        <w:rPr>
          <w:rStyle w:val="Hyperlink"/>
          <w:rFonts w:ascii="Palatino Linotype" w:hAnsi="Palatino Linotype" w:cstheme="majorBidi"/>
        </w:rPr>
        <w:t>.</w:t>
      </w:r>
      <w:r w:rsidR="00AB15B4">
        <w:rPr>
          <w:rStyle w:val="Hyperlink"/>
          <w:rFonts w:ascii="Palatino Linotype" w:hAnsi="Palatino Linotype" w:cstheme="majorBidi"/>
        </w:rPr>
        <w:t>”</w:t>
      </w:r>
    </w:p>
    <w:p w14:paraId="089CCC3C" w14:textId="77777777" w:rsidR="00B6232B" w:rsidRPr="00D70507" w:rsidRDefault="00B6232B" w:rsidP="001E2963">
      <w:pPr>
        <w:spacing w:after="0" w:line="240" w:lineRule="auto"/>
        <w:rPr>
          <w:rFonts w:ascii="Palatino Linotype" w:hAnsi="Palatino Linotype" w:cstheme="majorBidi"/>
          <w:lang w:val="en"/>
        </w:rPr>
      </w:pPr>
      <w:r w:rsidRPr="00D70507">
        <w:rPr>
          <w:rFonts w:ascii="Palatino Linotype" w:hAnsi="Palatino Linotype" w:cstheme="majorBidi"/>
          <w:noProof/>
        </w:rPr>
        <w:lastRenderedPageBreak/>
        <w:drawing>
          <wp:inline distT="0" distB="0" distL="0" distR="0" wp14:anchorId="12F054F4" wp14:editId="1DC77113">
            <wp:extent cx="5069434" cy="2581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4265" t="34894" r="28617" b="13771"/>
                    <a:stretch/>
                  </pic:blipFill>
                  <pic:spPr bwMode="auto">
                    <a:xfrm>
                      <a:off x="0" y="0"/>
                      <a:ext cx="5920806" cy="3015522"/>
                    </a:xfrm>
                    <a:prstGeom prst="rect">
                      <a:avLst/>
                    </a:prstGeom>
                    <a:ln>
                      <a:noFill/>
                    </a:ln>
                    <a:extLst>
                      <a:ext uri="{53640926-AAD7-44D8-BBD7-CCE9431645EC}">
                        <a14:shadowObscured xmlns:a14="http://schemas.microsoft.com/office/drawing/2010/main"/>
                      </a:ext>
                    </a:extLst>
                  </pic:spPr>
                </pic:pic>
              </a:graphicData>
            </a:graphic>
          </wp:inline>
        </w:drawing>
      </w:r>
    </w:p>
    <w:p w14:paraId="50C6B98C" w14:textId="77777777" w:rsidR="001E2963" w:rsidRPr="00D70507" w:rsidRDefault="001E2963" w:rsidP="001E2963">
      <w:pPr>
        <w:spacing w:after="0" w:line="240" w:lineRule="auto"/>
        <w:jc w:val="center"/>
        <w:rPr>
          <w:rFonts w:ascii="Palatino Linotype" w:hAnsi="Palatino Linotype" w:cstheme="majorBidi"/>
        </w:rPr>
      </w:pPr>
      <w:r w:rsidRPr="00D70507">
        <w:rPr>
          <w:rFonts w:ascii="Palatino Linotype" w:hAnsi="Palatino Linotype" w:cstheme="majorBidi"/>
          <w:lang w:val="en"/>
        </w:rPr>
        <w:t>Figure 1.3. The plot of Sharia Economic Law Simple Lawsuit</w:t>
      </w:r>
    </w:p>
    <w:p w14:paraId="00A84F4D" w14:textId="77777777" w:rsidR="00B6232B" w:rsidRPr="00D70507" w:rsidRDefault="00B6232B" w:rsidP="00D70507">
      <w:pPr>
        <w:spacing w:after="0" w:line="240" w:lineRule="auto"/>
        <w:ind w:firstLine="720"/>
        <w:jc w:val="both"/>
        <w:rPr>
          <w:rFonts w:ascii="Palatino Linotype" w:hAnsi="Palatino Linotype" w:cstheme="majorBidi"/>
          <w:lang w:val="en"/>
        </w:rPr>
      </w:pPr>
    </w:p>
    <w:p w14:paraId="53F6E85B" w14:textId="77777777" w:rsidR="00B6232B" w:rsidRPr="00D70507" w:rsidRDefault="00B6232B" w:rsidP="001E2963">
      <w:pPr>
        <w:spacing w:after="0" w:line="240" w:lineRule="auto"/>
        <w:jc w:val="center"/>
        <w:rPr>
          <w:rFonts w:ascii="Palatino Linotype" w:hAnsi="Palatino Linotype" w:cstheme="majorBidi"/>
          <w:lang w:val="en"/>
        </w:rPr>
      </w:pPr>
      <w:r w:rsidRPr="00D70507">
        <w:rPr>
          <w:rFonts w:ascii="Palatino Linotype" w:hAnsi="Palatino Linotype" w:cstheme="majorBidi"/>
          <w:noProof/>
        </w:rPr>
        <w:drawing>
          <wp:inline distT="0" distB="0" distL="0" distR="0" wp14:anchorId="48798DE4" wp14:editId="4E497277">
            <wp:extent cx="5029200" cy="3108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1525" t="29225" r="26171" b="10704"/>
                    <a:stretch/>
                  </pic:blipFill>
                  <pic:spPr bwMode="auto">
                    <a:xfrm>
                      <a:off x="0" y="0"/>
                      <a:ext cx="5569871" cy="3443193"/>
                    </a:xfrm>
                    <a:prstGeom prst="rect">
                      <a:avLst/>
                    </a:prstGeom>
                    <a:ln>
                      <a:noFill/>
                    </a:ln>
                    <a:extLst>
                      <a:ext uri="{53640926-AAD7-44D8-BBD7-CCE9431645EC}">
                        <a14:shadowObscured xmlns:a14="http://schemas.microsoft.com/office/drawing/2010/main"/>
                      </a:ext>
                    </a:extLst>
                  </pic:spPr>
                </pic:pic>
              </a:graphicData>
            </a:graphic>
          </wp:inline>
        </w:drawing>
      </w:r>
    </w:p>
    <w:p w14:paraId="423CCB6B" w14:textId="77777777" w:rsidR="00B6232B" w:rsidRPr="00D70507" w:rsidRDefault="00B6232B" w:rsidP="00D70507">
      <w:pPr>
        <w:spacing w:after="0" w:line="240" w:lineRule="auto"/>
        <w:ind w:firstLine="720"/>
        <w:jc w:val="both"/>
        <w:rPr>
          <w:rFonts w:ascii="Palatino Linotype" w:hAnsi="Palatino Linotype" w:cstheme="majorBidi"/>
          <w:lang w:val="en"/>
        </w:rPr>
      </w:pPr>
    </w:p>
    <w:p w14:paraId="26BC5BBC" w14:textId="77777777" w:rsidR="001E2963" w:rsidRPr="00D70507" w:rsidRDefault="001E2963" w:rsidP="001E2963">
      <w:pPr>
        <w:spacing w:after="0" w:line="240" w:lineRule="auto"/>
        <w:jc w:val="center"/>
        <w:rPr>
          <w:rFonts w:ascii="Palatino Linotype" w:hAnsi="Palatino Linotype" w:cstheme="majorBidi"/>
          <w:lang w:val="en"/>
        </w:rPr>
      </w:pPr>
      <w:r w:rsidRPr="00D70507">
        <w:rPr>
          <w:rFonts w:ascii="Palatino Linotype" w:hAnsi="Palatino Linotype" w:cstheme="majorBidi"/>
          <w:lang w:val="en"/>
        </w:rPr>
        <w:t>Figure 1.4. The plot of Sharia Economic Law Simple Lawsuit</w:t>
      </w:r>
    </w:p>
    <w:p w14:paraId="1628BC2A" w14:textId="77777777" w:rsidR="00B6232B" w:rsidRPr="00D70507" w:rsidRDefault="00B6232B" w:rsidP="00D70507">
      <w:pPr>
        <w:spacing w:after="0" w:line="240" w:lineRule="auto"/>
        <w:jc w:val="both"/>
        <w:rPr>
          <w:rFonts w:ascii="Palatino Linotype" w:hAnsi="Palatino Linotype" w:cstheme="majorBidi"/>
          <w:lang w:val="en"/>
        </w:rPr>
      </w:pPr>
    </w:p>
    <w:p w14:paraId="33C74F01" w14:textId="77777777" w:rsidR="00B6232B" w:rsidRPr="00D70507" w:rsidRDefault="00B6232B" w:rsidP="001E2963">
      <w:pPr>
        <w:spacing w:after="0" w:line="240" w:lineRule="auto"/>
        <w:ind w:firstLine="567"/>
        <w:jc w:val="both"/>
        <w:rPr>
          <w:rFonts w:ascii="Palatino Linotype" w:hAnsi="Palatino Linotype" w:cstheme="majorBidi"/>
          <w:lang w:val="en"/>
        </w:rPr>
      </w:pPr>
      <w:r w:rsidRPr="00D70507">
        <w:rPr>
          <w:rFonts w:ascii="Palatino Linotype" w:hAnsi="Palatino Linotype" w:cstheme="majorBidi"/>
          <w:lang w:val="en"/>
        </w:rPr>
        <w:t xml:space="preserve">Reviewing </w:t>
      </w:r>
      <w:r w:rsidRPr="00D70507">
        <w:rPr>
          <w:rFonts w:ascii="Palatino Linotype" w:hAnsi="Palatino Linotype" w:cstheme="majorBidi"/>
          <w:i/>
          <w:lang w:val="en"/>
        </w:rPr>
        <w:t xml:space="preserve">the table </w:t>
      </w:r>
      <w:bookmarkStart w:id="2" w:name="_Hlk166315710"/>
      <w:r w:rsidRPr="00D70507">
        <w:rPr>
          <w:rFonts w:ascii="Palatino Linotype" w:hAnsi="Palatino Linotype" w:cstheme="majorBidi"/>
          <w:i/>
          <w:lang w:val="en"/>
        </w:rPr>
        <w:t>chain</w:t>
      </w:r>
      <w:r w:rsidRPr="00D70507">
        <w:rPr>
          <w:rFonts w:ascii="Palatino Linotype" w:hAnsi="Palatino Linotype" w:cstheme="majorBidi"/>
          <w:lang w:val="en"/>
        </w:rPr>
        <w:t xml:space="preserve"> of the case above an overview of the flow of procedures</w:t>
      </w:r>
      <w:bookmarkEnd w:id="2"/>
      <w:r w:rsidRPr="00D70507">
        <w:rPr>
          <w:rFonts w:ascii="Palatino Linotype" w:hAnsi="Palatino Linotype" w:cstheme="majorBidi"/>
          <w:lang w:val="en"/>
        </w:rPr>
        <w:t xml:space="preserve"> for resolving simple lawsuits in terms of activities and procedures as released by the “</w:t>
      </w:r>
      <w:proofErr w:type="spellStart"/>
      <w:r w:rsidRPr="00D70507">
        <w:rPr>
          <w:rFonts w:ascii="Palatino Linotype" w:hAnsi="Palatino Linotype" w:cstheme="majorBidi"/>
          <w:lang w:val="en"/>
        </w:rPr>
        <w:t>Badilag</w:t>
      </w:r>
      <w:proofErr w:type="spellEnd"/>
      <w:r w:rsidRPr="00D70507">
        <w:rPr>
          <w:rFonts w:ascii="Palatino Linotype" w:hAnsi="Palatino Linotype" w:cstheme="majorBidi"/>
          <w:lang w:val="en"/>
        </w:rPr>
        <w:t>” Supreme Court Republic of Indonesia, illustrated in the scheme and figure of the following register book:</w:t>
      </w:r>
      <w:r w:rsidRPr="00D70507">
        <w:rPr>
          <w:rStyle w:val="FootnoteReference"/>
          <w:rFonts w:ascii="Palatino Linotype" w:hAnsi="Palatino Linotype" w:cstheme="majorBidi"/>
          <w:lang w:val="en"/>
        </w:rPr>
        <w:footnoteReference w:id="40"/>
      </w:r>
    </w:p>
    <w:p w14:paraId="30666CD5" w14:textId="77777777" w:rsidR="00B6232B" w:rsidRPr="006A0D76" w:rsidRDefault="00B6232B" w:rsidP="00B6232B">
      <w:pPr>
        <w:spacing w:line="240" w:lineRule="atLeast"/>
        <w:ind w:firstLine="720"/>
        <w:rPr>
          <w:rFonts w:cstheme="majorBidi"/>
        </w:rPr>
      </w:pPr>
    </w:p>
    <w:p w14:paraId="6469F899" w14:textId="77777777" w:rsidR="00B6232B" w:rsidRPr="00461AE4" w:rsidRDefault="00B6232B" w:rsidP="00B6232B">
      <w:pPr>
        <w:pStyle w:val="MadaniaHeading1"/>
        <w:jc w:val="center"/>
        <w:rPr>
          <w:rFonts w:asciiTheme="majorBidi" w:hAnsiTheme="majorBidi" w:cstheme="majorBidi"/>
          <w:lang w:val="en-US"/>
        </w:rPr>
      </w:pPr>
      <w:r w:rsidRPr="00461AE4">
        <w:rPr>
          <w:rFonts w:asciiTheme="majorBidi" w:hAnsiTheme="majorBidi" w:cstheme="majorBidi"/>
          <w:noProof/>
          <w:lang w:val="en-US"/>
        </w:rPr>
        <w:drawing>
          <wp:inline distT="0" distB="0" distL="0" distR="0" wp14:anchorId="5074F719" wp14:editId="5D4AA5C2">
            <wp:extent cx="4646930" cy="6532474"/>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0262" cy="6719908"/>
                    </a:xfrm>
                    <a:prstGeom prst="rect">
                      <a:avLst/>
                    </a:prstGeom>
                    <a:noFill/>
                  </pic:spPr>
                </pic:pic>
              </a:graphicData>
            </a:graphic>
          </wp:inline>
        </w:drawing>
      </w:r>
    </w:p>
    <w:p w14:paraId="507301E3" w14:textId="65B00D1B" w:rsidR="00B6232B" w:rsidRPr="001E2963" w:rsidRDefault="001E2963" w:rsidP="00B6232B">
      <w:pPr>
        <w:pStyle w:val="MadaniaHeading1"/>
        <w:spacing w:after="0" w:line="240" w:lineRule="auto"/>
        <w:jc w:val="center"/>
        <w:rPr>
          <w:rFonts w:ascii="Palatino Linotype" w:hAnsi="Palatino Linotype" w:cstheme="majorBidi"/>
          <w:b w:val="0"/>
          <w:bCs w:val="0"/>
          <w:sz w:val="22"/>
          <w:szCs w:val="22"/>
        </w:rPr>
      </w:pPr>
      <w:r>
        <w:rPr>
          <w:rFonts w:ascii="Palatino Linotype" w:hAnsi="Palatino Linotype" w:cstheme="majorBidi"/>
          <w:b w:val="0"/>
          <w:bCs w:val="0"/>
          <w:sz w:val="22"/>
          <w:szCs w:val="22"/>
          <w:lang w:val="en-ID"/>
        </w:rPr>
        <w:t>Figure 1.5.: C</w:t>
      </w:r>
      <w:r w:rsidRPr="001E2963">
        <w:rPr>
          <w:rFonts w:ascii="Palatino Linotype" w:hAnsi="Palatino Linotype" w:cstheme="majorBidi"/>
          <w:b w:val="0"/>
          <w:bCs w:val="0"/>
          <w:sz w:val="22"/>
          <w:szCs w:val="22"/>
          <w:lang w:val="en-ID"/>
        </w:rPr>
        <w:t xml:space="preserve">hain of the </w:t>
      </w:r>
      <w:r>
        <w:rPr>
          <w:rFonts w:ascii="Palatino Linotype" w:hAnsi="Palatino Linotype" w:cstheme="majorBidi"/>
          <w:b w:val="0"/>
          <w:bCs w:val="0"/>
          <w:sz w:val="22"/>
          <w:szCs w:val="22"/>
          <w:lang w:val="en-ID"/>
        </w:rPr>
        <w:t>C</w:t>
      </w:r>
      <w:r w:rsidRPr="001E2963">
        <w:rPr>
          <w:rFonts w:ascii="Palatino Linotype" w:hAnsi="Palatino Linotype" w:cstheme="majorBidi"/>
          <w:b w:val="0"/>
          <w:bCs w:val="0"/>
          <w:sz w:val="22"/>
          <w:szCs w:val="22"/>
          <w:lang w:val="en-ID"/>
        </w:rPr>
        <w:t xml:space="preserve">ase </w:t>
      </w:r>
      <w:r>
        <w:rPr>
          <w:rFonts w:ascii="Palatino Linotype" w:hAnsi="Palatino Linotype" w:cstheme="majorBidi"/>
          <w:b w:val="0"/>
          <w:bCs w:val="0"/>
          <w:sz w:val="22"/>
          <w:szCs w:val="22"/>
          <w:lang w:val="en-ID"/>
        </w:rPr>
        <w:t>O</w:t>
      </w:r>
      <w:r w:rsidRPr="001E2963">
        <w:rPr>
          <w:rFonts w:ascii="Palatino Linotype" w:hAnsi="Palatino Linotype" w:cstheme="majorBidi"/>
          <w:b w:val="0"/>
          <w:bCs w:val="0"/>
          <w:sz w:val="22"/>
          <w:szCs w:val="22"/>
          <w:lang w:val="en-ID"/>
        </w:rPr>
        <w:t xml:space="preserve">verview </w:t>
      </w:r>
      <w:r>
        <w:rPr>
          <w:rFonts w:ascii="Palatino Linotype" w:hAnsi="Palatino Linotype" w:cstheme="majorBidi"/>
          <w:b w:val="0"/>
          <w:bCs w:val="0"/>
          <w:sz w:val="22"/>
          <w:szCs w:val="22"/>
          <w:lang w:val="en-ID"/>
        </w:rPr>
        <w:t>and F</w:t>
      </w:r>
      <w:r w:rsidRPr="001E2963">
        <w:rPr>
          <w:rFonts w:ascii="Palatino Linotype" w:hAnsi="Palatino Linotype" w:cstheme="majorBidi"/>
          <w:b w:val="0"/>
          <w:bCs w:val="0"/>
          <w:sz w:val="22"/>
          <w:szCs w:val="22"/>
          <w:lang w:val="en-ID"/>
        </w:rPr>
        <w:t xml:space="preserve">low of </w:t>
      </w:r>
      <w:r>
        <w:rPr>
          <w:rFonts w:ascii="Palatino Linotype" w:hAnsi="Palatino Linotype" w:cstheme="majorBidi"/>
          <w:b w:val="0"/>
          <w:bCs w:val="0"/>
          <w:sz w:val="22"/>
          <w:szCs w:val="22"/>
          <w:lang w:val="en-ID"/>
        </w:rPr>
        <w:t>P</w:t>
      </w:r>
      <w:r w:rsidRPr="001E2963">
        <w:rPr>
          <w:rFonts w:ascii="Palatino Linotype" w:hAnsi="Palatino Linotype" w:cstheme="majorBidi"/>
          <w:b w:val="0"/>
          <w:bCs w:val="0"/>
          <w:sz w:val="22"/>
          <w:szCs w:val="22"/>
          <w:lang w:val="en-ID"/>
        </w:rPr>
        <w:t>rocedures</w:t>
      </w:r>
      <w:r>
        <w:rPr>
          <w:rFonts w:ascii="Palatino Linotype" w:hAnsi="Palatino Linotype" w:cstheme="majorBidi"/>
          <w:b w:val="0"/>
          <w:bCs w:val="0"/>
          <w:sz w:val="22"/>
          <w:szCs w:val="22"/>
          <w:lang w:val="en-ID"/>
        </w:rPr>
        <w:t>.</w:t>
      </w:r>
    </w:p>
    <w:p w14:paraId="475A4F4F" w14:textId="77777777" w:rsidR="008D1327" w:rsidRPr="004E578B" w:rsidRDefault="008D1327" w:rsidP="00074D16">
      <w:pPr>
        <w:spacing w:after="60" w:line="240" w:lineRule="auto"/>
        <w:jc w:val="both"/>
        <w:rPr>
          <w:rFonts w:ascii="Cambria" w:hAnsi="Cambria" w:cs="Times New Roman"/>
          <w:b/>
          <w:bCs/>
          <w:sz w:val="24"/>
          <w:szCs w:val="24"/>
        </w:rPr>
      </w:pPr>
      <w:r w:rsidRPr="004E578B">
        <w:rPr>
          <w:rFonts w:ascii="Cambria" w:hAnsi="Cambria" w:cs="Times New Roman"/>
          <w:b/>
          <w:bCs/>
          <w:sz w:val="24"/>
          <w:szCs w:val="24"/>
        </w:rPr>
        <w:t>Conclusion</w:t>
      </w:r>
    </w:p>
    <w:p w14:paraId="7141CD6E" w14:textId="4C25CACF" w:rsidR="008D1327" w:rsidRPr="006E7D02" w:rsidRDefault="008D1327" w:rsidP="00074D16">
      <w:pPr>
        <w:pStyle w:val="E-JOURNALBody"/>
        <w:rPr>
          <w:rFonts w:ascii="Palatino Linotype" w:hAnsi="Palatino Linotype"/>
        </w:rPr>
      </w:pPr>
      <w:r w:rsidRPr="006E7D02">
        <w:rPr>
          <w:rFonts w:ascii="Palatino Linotype" w:hAnsi="Palatino Linotype"/>
        </w:rPr>
        <w:t xml:space="preserve">Non-litigation dispute resolution by the ADR method in the context of legal developments in the field of Islamic economics, as well as manners in society, is very important. This method of handling is necessary because it is easier, faster, and more financially affordable, especially in simple legal matters but does not </w:t>
      </w:r>
      <w:r w:rsidRPr="006E7D02">
        <w:rPr>
          <w:rFonts w:ascii="Palatino Linotype" w:hAnsi="Palatino Linotype"/>
        </w:rPr>
        <w:lastRenderedPageBreak/>
        <w:t xml:space="preserve">violate applicable regulations. Indications of the case can be seen from the elements of unlawful acts, errors, </w:t>
      </w:r>
      <w:r w:rsidR="00EB2DD2">
        <w:rPr>
          <w:rFonts w:ascii="Palatino Linotype" w:hAnsi="Palatino Linotype"/>
        </w:rPr>
        <w:t xml:space="preserve">and </w:t>
      </w:r>
      <w:r w:rsidRPr="006E7D02">
        <w:rPr>
          <w:rFonts w:ascii="Palatino Linotype" w:hAnsi="Palatino Linotype"/>
        </w:rPr>
        <w:t xml:space="preserve">causal relationships between losses and actions, as well as the emergence of cases for settlement of mu'amalah disputes with simple claims, the implementation of which can be carried out through the Arbitration Institution, </w:t>
      </w:r>
      <w:r w:rsidR="00EB2DD2">
        <w:rPr>
          <w:rFonts w:ascii="Palatino Linotype" w:hAnsi="Palatino Linotype"/>
        </w:rPr>
        <w:t>by</w:t>
      </w:r>
      <w:r w:rsidRPr="006E7D02">
        <w:rPr>
          <w:rFonts w:ascii="Palatino Linotype" w:hAnsi="Palatino Linotype"/>
        </w:rPr>
        <w:t xml:space="preserve"> Law Number 30 of 1999. An institution appointed by a disputing group to bring claims related to a particular dispute. The agency may provide binding opinions on certain legal relationships in cases of disputes on a non-litigation basis. "Badilag MA RI" through the Supreme Court Regulation (PERMA) RI, regulates the procedure and implementation of objection resolution in simple lawsuits in the field of Islamic economics with efforts to complete procedures more simply, quickly, and at low cost. </w:t>
      </w:r>
      <w:r w:rsidR="00EB2DD2">
        <w:rPr>
          <w:rFonts w:ascii="Palatino Linotype" w:hAnsi="Palatino Linotype"/>
        </w:rPr>
        <w:t>T</w:t>
      </w:r>
      <w:r w:rsidRPr="006E7D02">
        <w:rPr>
          <w:rFonts w:ascii="Palatino Linotype" w:hAnsi="Palatino Linotype"/>
        </w:rPr>
        <w:t>he standard operational procedures (SOPs) for handling objections in simple lawsuits, can be reviewed through several PERMA RI, including Supreme Court Regulation (PERMA) Number 2 of 2015 concerning procedures for handling simple claims. BNRI Year 2015 Number 1172; PERMA RI Number 1 of 2016 concerning Mediation Procedures in District Courts. BNRI in 2016 Number 175; PERMA RI Number 14 of 2016 concerning Sharia Economic Case Procedures. BNRI Year 2016 Number 2059; PERMA RI Number 4 of 2019 concerning Amendments to Supreme Court Regulation Number 2 of 2015 concerning Simple Lawsuit Handling Procedures. BNRI Year 2019 Number 942, as well as other regulations related to Sharia economic law in Indonesia. The substance confirms that the handling of simple cases is an examination procedure in the trial of civil cases regarding a maximum material amount of Rp500,000,000 (five hundred million rupiah) through simple procedures, and their validity is based on applicable regulations and has binding legal force.</w:t>
      </w:r>
    </w:p>
    <w:p w14:paraId="18136656" w14:textId="3402C3E0" w:rsidR="008D1327" w:rsidRDefault="008D1327" w:rsidP="00074D16">
      <w:pPr>
        <w:spacing w:after="60" w:line="240" w:lineRule="auto"/>
        <w:rPr>
          <w:rFonts w:ascii="Cambria" w:hAnsi="Cambria" w:cs="Times New Roman"/>
          <w:b/>
          <w:bCs/>
          <w:sz w:val="24"/>
          <w:szCs w:val="24"/>
        </w:rPr>
      </w:pPr>
      <w:r>
        <w:rPr>
          <w:rFonts w:ascii="Cambria" w:hAnsi="Cambria" w:cs="Times New Roman"/>
          <w:b/>
          <w:bCs/>
          <w:sz w:val="24"/>
          <w:szCs w:val="24"/>
        </w:rPr>
        <w:t>References</w:t>
      </w:r>
    </w:p>
    <w:p w14:paraId="49A938BC"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heme="majorBidi"/>
          <w:b/>
        </w:rPr>
        <w:fldChar w:fldCharType="begin" w:fldLock="1"/>
      </w:r>
      <w:r w:rsidRPr="002A6BD4">
        <w:rPr>
          <w:rFonts w:ascii="Palatino Linotype" w:hAnsi="Palatino Linotype" w:cstheme="majorBidi"/>
          <w:b/>
        </w:rPr>
        <w:instrText xml:space="preserve">ADDIN Mendeley Bibliography CSL_BIBLIOGRAPHY </w:instrText>
      </w:r>
      <w:r w:rsidRPr="002A6BD4">
        <w:rPr>
          <w:rFonts w:ascii="Palatino Linotype" w:hAnsi="Palatino Linotype" w:cstheme="majorBidi"/>
          <w:b/>
        </w:rPr>
        <w:fldChar w:fldCharType="separate"/>
      </w:r>
      <w:r w:rsidRPr="002A6BD4">
        <w:rPr>
          <w:rFonts w:ascii="Palatino Linotype" w:hAnsi="Palatino Linotype" w:cs="Times New Roman"/>
          <w:noProof/>
        </w:rPr>
        <w:t xml:space="preserve">Abdul Manan. (2016). </w:t>
      </w:r>
      <w:r w:rsidRPr="002A6BD4">
        <w:rPr>
          <w:rFonts w:ascii="Palatino Linotype" w:hAnsi="Palatino Linotype" w:cs="Times New Roman"/>
          <w:i/>
          <w:iCs/>
          <w:noProof/>
        </w:rPr>
        <w:t>Hukum Ekonomi Syariah dalam Perspektif Kewenangan Peradilan Agama</w:t>
      </w:r>
      <w:r w:rsidRPr="002A6BD4">
        <w:rPr>
          <w:rFonts w:ascii="Palatino Linotype" w:hAnsi="Palatino Linotype" w:cs="Times New Roman"/>
          <w:noProof/>
        </w:rPr>
        <w:t>. Prenadamedia Group.</w:t>
      </w:r>
    </w:p>
    <w:p w14:paraId="7BF26567"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Ahmad Saebani, B. (2008). </w:t>
      </w:r>
      <w:r w:rsidRPr="002A6BD4">
        <w:rPr>
          <w:rFonts w:ascii="Palatino Linotype" w:hAnsi="Palatino Linotype" w:cs="Times New Roman"/>
          <w:i/>
          <w:iCs/>
          <w:noProof/>
        </w:rPr>
        <w:t>Metode Penelitian</w:t>
      </w:r>
      <w:r w:rsidRPr="002A6BD4">
        <w:rPr>
          <w:rFonts w:ascii="Palatino Linotype" w:hAnsi="Palatino Linotype" w:cs="Times New Roman"/>
          <w:noProof/>
        </w:rPr>
        <w:t xml:space="preserve"> (Cetakan-I). Pustaka Setia.</w:t>
      </w:r>
    </w:p>
    <w:p w14:paraId="1D2909D8"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Peraturan Mahkamah Agung RI Nomor 14 Tahun 2016 tentang Tata Cara Penyelesaian Perkara Ekonomi Syariah. BNRI Tahun 2016 Nomor 2059., (2016).</w:t>
      </w:r>
    </w:p>
    <w:p w14:paraId="4A6B6CD3"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Departemen Pendidikan Nasional, P. B. (2008). </w:t>
      </w:r>
      <w:r w:rsidRPr="002A6BD4">
        <w:rPr>
          <w:rFonts w:ascii="Palatino Linotype" w:hAnsi="Palatino Linotype" w:cs="Times New Roman"/>
          <w:i/>
          <w:iCs/>
          <w:noProof/>
        </w:rPr>
        <w:t>Kamus Besar Bahasa Indonesia</w:t>
      </w:r>
      <w:r w:rsidRPr="002A6BD4">
        <w:rPr>
          <w:rFonts w:ascii="Palatino Linotype" w:hAnsi="Palatino Linotype" w:cs="Times New Roman"/>
          <w:noProof/>
        </w:rPr>
        <w:t xml:space="preserve"> (Kedua). Balai Pustaka.</w:t>
      </w:r>
    </w:p>
    <w:p w14:paraId="163AADD3"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Dhiljam Nuhqila, E. P. (2020). </w:t>
      </w:r>
      <w:r w:rsidRPr="002A6BD4">
        <w:rPr>
          <w:rFonts w:ascii="Palatino Linotype" w:hAnsi="Palatino Linotype" w:cs="Times New Roman"/>
          <w:i/>
          <w:iCs/>
          <w:noProof/>
        </w:rPr>
        <w:t>Pengelolaan Tabungan Haji Perspektif Hukum Perjanjian Syariah</w:t>
      </w:r>
      <w:r w:rsidRPr="002A6BD4">
        <w:rPr>
          <w:rFonts w:ascii="Palatino Linotype" w:hAnsi="Palatino Linotype" w:cs="Times New Roman"/>
          <w:noProof/>
        </w:rPr>
        <w:t xml:space="preserve">. </w:t>
      </w:r>
      <w:r w:rsidRPr="002A6BD4">
        <w:rPr>
          <w:rFonts w:ascii="Palatino Linotype" w:hAnsi="Palatino Linotype" w:cs="Times New Roman"/>
          <w:i/>
          <w:iCs/>
          <w:noProof/>
        </w:rPr>
        <w:t>18</w:t>
      </w:r>
      <w:r w:rsidRPr="002A6BD4">
        <w:rPr>
          <w:rFonts w:ascii="Palatino Linotype" w:hAnsi="Palatino Linotype" w:cs="Times New Roman"/>
          <w:noProof/>
        </w:rPr>
        <w:t>(1), 85–101.</w:t>
      </w:r>
    </w:p>
    <w:p w14:paraId="642B42F4"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Gardner, B. A. (2004). </w:t>
      </w:r>
      <w:r w:rsidRPr="002A6BD4">
        <w:rPr>
          <w:rFonts w:ascii="Palatino Linotype" w:hAnsi="Palatino Linotype" w:cs="Times New Roman"/>
          <w:i/>
          <w:iCs/>
          <w:noProof/>
        </w:rPr>
        <w:t>Black’s Law Dictionary</w:t>
      </w:r>
      <w:r w:rsidRPr="002A6BD4">
        <w:rPr>
          <w:rFonts w:ascii="Palatino Linotype" w:hAnsi="Palatino Linotype" w:cs="Times New Roman"/>
          <w:noProof/>
        </w:rPr>
        <w:t xml:space="preserve"> (8th Editio). West Publishing.</w:t>
      </w:r>
    </w:p>
    <w:p w14:paraId="6AB47988"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M. Echols, J. S. H. (2000). </w:t>
      </w:r>
      <w:r w:rsidRPr="002A6BD4">
        <w:rPr>
          <w:rFonts w:ascii="Palatino Linotype" w:hAnsi="Palatino Linotype" w:cs="Times New Roman"/>
          <w:i/>
          <w:iCs/>
          <w:noProof/>
        </w:rPr>
        <w:t>Kamus Inggris Indonesia-An English-Indonesian Dictionary</w:t>
      </w:r>
      <w:r w:rsidRPr="002A6BD4">
        <w:rPr>
          <w:rFonts w:ascii="Palatino Linotype" w:hAnsi="Palatino Linotype" w:cs="Times New Roman"/>
          <w:noProof/>
        </w:rPr>
        <w:t xml:space="preserve"> (Cetakan XX). PT. Gramedia Pustaka Utama.</w:t>
      </w:r>
    </w:p>
    <w:p w14:paraId="28A75004"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Marhamah Saleh. (n.d.). Metode Penyelesaian Sengketa Ekonomi Syariah Dalam Perpektif Hukum Islam Dan Indonesia. </w:t>
      </w:r>
      <w:r w:rsidRPr="002A6BD4">
        <w:rPr>
          <w:rFonts w:ascii="Palatino Linotype" w:hAnsi="Palatino Linotype" w:cs="Times New Roman"/>
          <w:i/>
          <w:iCs/>
          <w:noProof/>
        </w:rPr>
        <w:t>Journal Of Institution And Sharia Finance</w:t>
      </w:r>
      <w:r w:rsidRPr="002A6BD4">
        <w:rPr>
          <w:rFonts w:ascii="Palatino Linotype" w:hAnsi="Palatino Linotype" w:cs="Times New Roman"/>
          <w:noProof/>
        </w:rPr>
        <w:t>.</w:t>
      </w:r>
    </w:p>
    <w:p w14:paraId="35B57BBA"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Pembiayaan Musyarakah, Pub. L. No. 08, Tentang Pembiayaan Musyarakah </w:t>
      </w:r>
      <w:r w:rsidRPr="002A6BD4">
        <w:rPr>
          <w:rFonts w:ascii="Palatino Linotype" w:hAnsi="Palatino Linotype" w:cs="Times New Roman"/>
          <w:noProof/>
        </w:rPr>
        <w:lastRenderedPageBreak/>
        <w:t>(2000).</w:t>
      </w:r>
    </w:p>
    <w:p w14:paraId="0E5852FC"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Mujahidin, A. (2017). </w:t>
      </w:r>
      <w:r w:rsidRPr="002A6BD4">
        <w:rPr>
          <w:rFonts w:ascii="Palatino Linotype" w:hAnsi="Palatino Linotype" w:cs="Times New Roman"/>
          <w:i/>
          <w:iCs/>
          <w:noProof/>
        </w:rPr>
        <w:t>Hukum Perbankan Syariah</w:t>
      </w:r>
      <w:r w:rsidRPr="002A6BD4">
        <w:rPr>
          <w:rFonts w:ascii="Palatino Linotype" w:hAnsi="Palatino Linotype" w:cs="Times New Roman"/>
          <w:noProof/>
        </w:rPr>
        <w:t xml:space="preserve"> (Cetakan ke</w:t>
      </w:r>
      <w:r w:rsidRPr="002A6BD4">
        <w:rPr>
          <w:rFonts w:ascii="Palatino Linotype" w:hAnsi="Palatino Linotype" w:cs="Times New Roman"/>
          <w:noProof/>
          <w:lang w:val="en-ID"/>
        </w:rPr>
        <w:t>-1</w:t>
      </w:r>
      <w:r w:rsidRPr="002A6BD4">
        <w:rPr>
          <w:rFonts w:ascii="Palatino Linotype" w:hAnsi="Palatino Linotype" w:cs="Times New Roman"/>
          <w:noProof/>
        </w:rPr>
        <w:t>). PT. Rajafrafindo Persada.</w:t>
      </w:r>
    </w:p>
    <w:p w14:paraId="6D743ACD"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Tentang Perubahan atas Undang-Undang Nomor 7 Tahun 1989 Tentang Peradilan Agama, Pub. L. No. Lembaran Negara Republik Indonesia Tahun 2006 Nomor 22. Tambahan Lembaran Negara Republik Indonesia Nomor 4611. (2006).</w:t>
      </w:r>
    </w:p>
    <w:p w14:paraId="1F00BF97"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Nurbaiti Prastyananda Yuwono. (2020). Perlindungan Hukum Terhadap Nasabah Koperasi Baitul Maal Wat Tamwil (BMT) Tidak Sehat di Kota Yogyakarta. </w:t>
      </w:r>
      <w:r w:rsidRPr="002A6BD4">
        <w:rPr>
          <w:rFonts w:ascii="Palatino Linotype" w:hAnsi="Palatino Linotype" w:cs="Times New Roman"/>
          <w:i/>
          <w:iCs/>
          <w:noProof/>
        </w:rPr>
        <w:t>Jurnal Hukum Islam (JHI)</w:t>
      </w:r>
      <w:r w:rsidRPr="002A6BD4">
        <w:rPr>
          <w:rFonts w:ascii="Palatino Linotype" w:hAnsi="Palatino Linotype" w:cs="Times New Roman"/>
          <w:noProof/>
        </w:rPr>
        <w:t xml:space="preserve">, </w:t>
      </w:r>
      <w:r w:rsidRPr="002A6BD4">
        <w:rPr>
          <w:rFonts w:ascii="Palatino Linotype" w:hAnsi="Palatino Linotype" w:cs="Times New Roman"/>
          <w:i/>
          <w:iCs/>
          <w:noProof/>
        </w:rPr>
        <w:t>18</w:t>
      </w:r>
      <w:r w:rsidRPr="002A6BD4">
        <w:rPr>
          <w:rFonts w:ascii="Palatino Linotype" w:hAnsi="Palatino Linotype" w:cs="Times New Roman"/>
          <w:noProof/>
        </w:rPr>
        <w:t>(Nomor 1), 37. https://doi.org/https://doi.org/10.28918/jhi.v18i1.2845</w:t>
      </w:r>
    </w:p>
    <w:p w14:paraId="7AC2B3BB"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Perma RI Nomor 14. (2016). Peraturan Mahkamah Agung tentang Tata Cara Penyelesaian Perkara Ekonomi Syariah. In </w:t>
      </w:r>
      <w:r w:rsidRPr="002A6BD4">
        <w:rPr>
          <w:rFonts w:ascii="Palatino Linotype" w:hAnsi="Palatino Linotype" w:cs="Times New Roman"/>
          <w:i/>
          <w:iCs/>
          <w:noProof/>
        </w:rPr>
        <w:t>Peraturan Mahkamah Agung</w:t>
      </w:r>
      <w:r w:rsidRPr="002A6BD4">
        <w:rPr>
          <w:rFonts w:ascii="Palatino Linotype" w:hAnsi="Palatino Linotype" w:cs="Times New Roman"/>
          <w:noProof/>
        </w:rPr>
        <w:t>. Badilag MA.</w:t>
      </w:r>
    </w:p>
    <w:p w14:paraId="1A760FC3"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Pustaka Yustisia. (2015). </w:t>
      </w:r>
      <w:r w:rsidRPr="002A6BD4">
        <w:rPr>
          <w:rFonts w:ascii="Palatino Linotype" w:hAnsi="Palatino Linotype" w:cs="Times New Roman"/>
          <w:i/>
          <w:iCs/>
          <w:noProof/>
        </w:rPr>
        <w:t>Kitab Undang-undang Hukum Perdata (KUH Perdata)</w:t>
      </w:r>
      <w:r w:rsidRPr="002A6BD4">
        <w:rPr>
          <w:rFonts w:ascii="Palatino Linotype" w:hAnsi="Palatino Linotype" w:cs="Times New Roman"/>
          <w:noProof/>
        </w:rPr>
        <w:t>. Penerbit Pustaka Yustisia.</w:t>
      </w:r>
    </w:p>
    <w:p w14:paraId="3E476503"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Rahmi, D. (2014). Ruang Lingkup Kewenangan Peradilan Agama Dalam Mengadili Sengketa Ekonomi Syariah. </w:t>
      </w:r>
      <w:r w:rsidRPr="002A6BD4">
        <w:rPr>
          <w:rFonts w:ascii="Palatino Linotype" w:hAnsi="Palatino Linotype" w:cs="Times New Roman"/>
          <w:i/>
          <w:iCs/>
          <w:noProof/>
        </w:rPr>
        <w:t>Journal Of Institution And Sharia Finance</w:t>
      </w:r>
      <w:r w:rsidRPr="002A6BD4">
        <w:rPr>
          <w:rFonts w:ascii="Palatino Linotype" w:hAnsi="Palatino Linotype" w:cs="Times New Roman"/>
          <w:noProof/>
        </w:rPr>
        <w:t xml:space="preserve">, </w:t>
      </w:r>
      <w:r w:rsidRPr="002A6BD4">
        <w:rPr>
          <w:rFonts w:ascii="Palatino Linotype" w:hAnsi="Palatino Linotype" w:cs="Times New Roman"/>
          <w:i/>
          <w:iCs/>
          <w:noProof/>
        </w:rPr>
        <w:t>0</w:t>
      </w:r>
      <w:r w:rsidRPr="002A6BD4">
        <w:rPr>
          <w:rFonts w:ascii="Palatino Linotype" w:hAnsi="Palatino Linotype" w:cs="Times New Roman"/>
          <w:noProof/>
        </w:rPr>
        <w:t>, 1. http://jurnal.uin-antasari.ac.id/index.php/syariah/article/download/174/116</w:t>
      </w:r>
    </w:p>
    <w:p w14:paraId="53FAEE45"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Remy Sjahdeini, S. (2015). </w:t>
      </w:r>
      <w:r w:rsidRPr="002A6BD4">
        <w:rPr>
          <w:rFonts w:ascii="Palatino Linotype" w:hAnsi="Palatino Linotype" w:cs="Times New Roman"/>
          <w:i/>
          <w:iCs/>
          <w:noProof/>
        </w:rPr>
        <w:t>Perbankan Syariah</w:t>
      </w:r>
      <w:r w:rsidRPr="002A6BD4">
        <w:rPr>
          <w:rFonts w:ascii="Palatino Linotype" w:hAnsi="Palatino Linotype" w:cs="Times New Roman"/>
          <w:noProof/>
        </w:rPr>
        <w:t xml:space="preserve"> (Cetakan ke</w:t>
      </w:r>
      <w:r w:rsidRPr="002A6BD4">
        <w:rPr>
          <w:rFonts w:ascii="Palatino Linotype" w:hAnsi="Palatino Linotype" w:cs="Times New Roman"/>
          <w:noProof/>
          <w:lang w:val="en-ID"/>
        </w:rPr>
        <w:t>-2</w:t>
      </w:r>
      <w:r w:rsidRPr="002A6BD4">
        <w:rPr>
          <w:rFonts w:ascii="Palatino Linotype" w:hAnsi="Palatino Linotype" w:cs="Times New Roman"/>
          <w:noProof/>
        </w:rPr>
        <w:t>). Kencana Prenadamedia Group.</w:t>
      </w:r>
    </w:p>
    <w:p w14:paraId="5C93A029"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Sābiq, S. (1427). </w:t>
      </w:r>
      <w:r w:rsidRPr="002A6BD4">
        <w:rPr>
          <w:rFonts w:ascii="Palatino Linotype" w:hAnsi="Palatino Linotype" w:cs="Times New Roman"/>
          <w:i/>
          <w:iCs/>
          <w:noProof/>
        </w:rPr>
        <w:t>Fiqhu Al-Sunnah</w:t>
      </w:r>
      <w:r w:rsidRPr="002A6BD4">
        <w:rPr>
          <w:rFonts w:ascii="Palatino Linotype" w:hAnsi="Palatino Linotype" w:cs="Times New Roman"/>
          <w:noProof/>
        </w:rPr>
        <w:t xml:space="preserve"> (Juz III). Dār Al-Fikr.</w:t>
      </w:r>
    </w:p>
    <w:p w14:paraId="26742F98"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Suadi, A. (2017). </w:t>
      </w:r>
      <w:r w:rsidRPr="002A6BD4">
        <w:rPr>
          <w:rFonts w:ascii="Palatino Linotype" w:hAnsi="Palatino Linotype" w:cs="Times New Roman"/>
          <w:i/>
          <w:iCs/>
          <w:noProof/>
        </w:rPr>
        <w:t>Penyelesaian Sengketa Ekonomi Syariah - Teori dan Praktik</w:t>
      </w:r>
      <w:r w:rsidRPr="002A6BD4">
        <w:rPr>
          <w:rFonts w:ascii="Palatino Linotype" w:hAnsi="Palatino Linotype" w:cs="Times New Roman"/>
          <w:noProof/>
        </w:rPr>
        <w:t xml:space="preserve"> (Cetakan ke). Kencana Prenadamedia Group.</w:t>
      </w:r>
    </w:p>
    <w:p w14:paraId="5252A6DF"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Suadi, A. (2020). </w:t>
      </w:r>
      <w:r w:rsidRPr="002A6BD4">
        <w:rPr>
          <w:rFonts w:ascii="Palatino Linotype" w:hAnsi="Palatino Linotype" w:cs="Times New Roman"/>
          <w:i/>
          <w:iCs/>
          <w:noProof/>
        </w:rPr>
        <w:t>Wanprestasi Dan Perbuatan Melawan Hukum, Dalam Penyelesaian Sengketa Ekonomi Syariah</w:t>
      </w:r>
      <w:r w:rsidRPr="002A6BD4">
        <w:rPr>
          <w:rFonts w:ascii="Palatino Linotype" w:hAnsi="Palatino Linotype" w:cs="Times New Roman"/>
          <w:noProof/>
        </w:rPr>
        <w:t xml:space="preserve"> (Cetakan Ke</w:t>
      </w:r>
      <w:r w:rsidRPr="002A6BD4">
        <w:rPr>
          <w:rFonts w:ascii="Palatino Linotype" w:hAnsi="Palatino Linotype" w:cs="Times New Roman"/>
          <w:noProof/>
          <w:lang w:val="en-ID"/>
        </w:rPr>
        <w:t>-1</w:t>
      </w:r>
      <w:r w:rsidRPr="002A6BD4">
        <w:rPr>
          <w:rFonts w:ascii="Palatino Linotype" w:hAnsi="Palatino Linotype" w:cs="Times New Roman"/>
          <w:noProof/>
        </w:rPr>
        <w:t>). Kencana Prenadamedia Group.</w:t>
      </w:r>
    </w:p>
    <w:p w14:paraId="47D88BE2" w14:textId="5C7C683F" w:rsid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Subekti. (2005). </w:t>
      </w:r>
      <w:r w:rsidRPr="002A6BD4">
        <w:rPr>
          <w:rFonts w:ascii="Palatino Linotype" w:hAnsi="Palatino Linotype" w:cs="Times New Roman"/>
          <w:i/>
          <w:iCs/>
          <w:noProof/>
        </w:rPr>
        <w:t>Hukum Perjanjian</w:t>
      </w:r>
      <w:r w:rsidRPr="002A6BD4">
        <w:rPr>
          <w:rFonts w:ascii="Palatino Linotype" w:hAnsi="Palatino Linotype" w:cs="Times New Roman"/>
          <w:noProof/>
        </w:rPr>
        <w:t>. Intermasa.</w:t>
      </w:r>
    </w:p>
    <w:p w14:paraId="502BF5CF" w14:textId="77777777" w:rsidR="00336812" w:rsidRPr="00F971E7" w:rsidRDefault="00336812" w:rsidP="00336812">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Pr>
          <w:rFonts w:ascii="Palatino Linotype" w:hAnsi="Palatino Linotype" w:cstheme="majorBidi"/>
          <w:lang w:val="en"/>
        </w:rPr>
        <w:fldChar w:fldCharType="begin" w:fldLock="1"/>
      </w:r>
      <w:r>
        <w:rPr>
          <w:rFonts w:ascii="Palatino Linotype" w:hAnsi="Palatino Linotype" w:cstheme="majorBidi"/>
          <w:lang w:val="en"/>
        </w:rPr>
        <w:instrText xml:space="preserve">ADDIN Mendeley Bibliography CSL_BIBLIOGRAPHY </w:instrText>
      </w:r>
      <w:r>
        <w:rPr>
          <w:rFonts w:ascii="Palatino Linotype" w:hAnsi="Palatino Linotype" w:cstheme="majorBidi"/>
          <w:lang w:val="en"/>
        </w:rPr>
        <w:fldChar w:fldCharType="separate"/>
      </w:r>
      <w:r w:rsidRPr="00F971E7">
        <w:rPr>
          <w:rFonts w:ascii="Palatino Linotype" w:hAnsi="Palatino Linotype" w:cs="Times New Roman"/>
          <w:noProof/>
          <w:szCs w:val="24"/>
        </w:rPr>
        <w:t xml:space="preserve">Solihin, Dadin. “Tafsir Normatif Terhadap Perkembangan Politik Hukum Ekonomi Syariah.” </w:t>
      </w:r>
      <w:r w:rsidRPr="00F971E7">
        <w:rPr>
          <w:rFonts w:ascii="Palatino Linotype" w:hAnsi="Palatino Linotype" w:cs="Times New Roman"/>
          <w:i/>
          <w:iCs/>
          <w:noProof/>
          <w:szCs w:val="24"/>
        </w:rPr>
        <w:t>Jurnal Pelita Nusa</w:t>
      </w:r>
      <w:r w:rsidRPr="00F971E7">
        <w:rPr>
          <w:rFonts w:ascii="Palatino Linotype" w:hAnsi="Palatino Linotype" w:cs="Times New Roman"/>
          <w:noProof/>
          <w:szCs w:val="24"/>
        </w:rPr>
        <w:t xml:space="preserve"> 1, no. 1 (2023): 1–18. https://doi.org/10.61612/jpn.v1i1.5.</w:t>
      </w:r>
    </w:p>
    <w:p w14:paraId="4181F252" w14:textId="77777777" w:rsidR="00336812" w:rsidRPr="00F971E7" w:rsidRDefault="00336812" w:rsidP="00336812">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F971E7">
        <w:rPr>
          <w:rFonts w:ascii="Palatino Linotype" w:hAnsi="Palatino Linotype" w:cs="Times New Roman"/>
          <w:noProof/>
          <w:szCs w:val="24"/>
        </w:rPr>
        <w:t xml:space="preserve">Susanto, Yoghi Arief. “Gugatan Sederhana Pada Penyelesaian Sengeketa Ekonomi Syariah Di Pengadilan Agama Dihubungkan Dengan Prinsip Ekonomi Syariah.” </w:t>
      </w:r>
      <w:r w:rsidRPr="00F971E7">
        <w:rPr>
          <w:rFonts w:ascii="Palatino Linotype" w:hAnsi="Palatino Linotype" w:cs="Times New Roman"/>
          <w:i/>
          <w:iCs/>
          <w:noProof/>
          <w:szCs w:val="24"/>
        </w:rPr>
        <w:t>Al-Ahwal Al-Syakhsiyyah: Jurnal Hukum Keluarga Dan Peradilan Islam</w:t>
      </w:r>
      <w:r w:rsidRPr="00F971E7">
        <w:rPr>
          <w:rFonts w:ascii="Palatino Linotype" w:hAnsi="Palatino Linotype" w:cs="Times New Roman"/>
          <w:noProof/>
          <w:szCs w:val="24"/>
        </w:rPr>
        <w:t xml:space="preserve"> 3, no. 1 (2022): 81–100. https://doi.org/10.15575/as.v3i1.17535.</w:t>
      </w:r>
    </w:p>
    <w:p w14:paraId="313A11C0" w14:textId="77777777" w:rsidR="00336812" w:rsidRPr="00F971E7" w:rsidRDefault="00336812" w:rsidP="00336812">
      <w:pPr>
        <w:widowControl w:val="0"/>
        <w:autoSpaceDE w:val="0"/>
        <w:autoSpaceDN w:val="0"/>
        <w:adjustRightInd w:val="0"/>
        <w:spacing w:after="0" w:line="240" w:lineRule="auto"/>
        <w:ind w:left="480" w:hanging="480"/>
        <w:jc w:val="both"/>
        <w:rPr>
          <w:rFonts w:ascii="Palatino Linotype" w:hAnsi="Palatino Linotype"/>
          <w:noProof/>
        </w:rPr>
      </w:pPr>
      <w:r w:rsidRPr="00F971E7">
        <w:rPr>
          <w:rFonts w:ascii="Palatino Linotype" w:hAnsi="Palatino Linotype" w:cs="Times New Roman"/>
          <w:noProof/>
          <w:szCs w:val="24"/>
        </w:rPr>
        <w:t xml:space="preserve">Yunita, Ani. “Efektifitas Penyelesaian Sengketa Ekonomi Syariah Melalui Badan Arbitrase Syariah Nasional Daerah Istimewa Yogyakarta.” </w:t>
      </w:r>
      <w:r w:rsidRPr="00F971E7">
        <w:rPr>
          <w:rFonts w:ascii="Palatino Linotype" w:hAnsi="Palatino Linotype" w:cs="Times New Roman"/>
          <w:i/>
          <w:iCs/>
          <w:noProof/>
          <w:szCs w:val="24"/>
        </w:rPr>
        <w:t>Jurnal Hukum Progresif</w:t>
      </w:r>
      <w:r w:rsidRPr="00F971E7">
        <w:rPr>
          <w:rFonts w:ascii="Palatino Linotype" w:hAnsi="Palatino Linotype" w:cs="Times New Roman"/>
          <w:noProof/>
          <w:szCs w:val="24"/>
        </w:rPr>
        <w:t xml:space="preserve"> 9, no. 1 (2021): 25–36. https://doi.org/10.14710/jhp.9.1.25-36.</w:t>
      </w:r>
    </w:p>
    <w:p w14:paraId="597B32E5" w14:textId="7ABBC8A0" w:rsidR="002A6BD4" w:rsidRPr="002A6BD4" w:rsidRDefault="00336812" w:rsidP="00336812">
      <w:pPr>
        <w:widowControl w:val="0"/>
        <w:autoSpaceDE w:val="0"/>
        <w:autoSpaceDN w:val="0"/>
        <w:adjustRightInd w:val="0"/>
        <w:spacing w:after="0" w:line="240" w:lineRule="auto"/>
        <w:ind w:left="851" w:hanging="851"/>
        <w:jc w:val="both"/>
        <w:rPr>
          <w:rFonts w:ascii="Palatino Linotype" w:hAnsi="Palatino Linotype" w:cs="Times New Roman"/>
          <w:noProof/>
        </w:rPr>
      </w:pPr>
      <w:r>
        <w:rPr>
          <w:rFonts w:ascii="Palatino Linotype" w:hAnsi="Palatino Linotype" w:cstheme="majorBidi"/>
          <w:lang w:val="en"/>
        </w:rPr>
        <w:fldChar w:fldCharType="end"/>
      </w:r>
      <w:r w:rsidR="002A6BD4" w:rsidRPr="002A6BD4">
        <w:rPr>
          <w:rFonts w:ascii="Palatino Linotype" w:hAnsi="Palatino Linotype" w:cs="Times New Roman"/>
          <w:noProof/>
        </w:rPr>
        <w:t>Tentang Arbitrase dan Alternatif Penyelesaian Sengketa, Undang-Undang</w:t>
      </w:r>
      <w:r w:rsidR="0066330D">
        <w:rPr>
          <w:rFonts w:ascii="Palatino Linotype" w:hAnsi="Palatino Linotype" w:cs="Times New Roman"/>
          <w:noProof/>
        </w:rPr>
        <w:t>, Nomor 30</w:t>
      </w:r>
      <w:r w:rsidR="002A6BD4" w:rsidRPr="002A6BD4">
        <w:rPr>
          <w:rFonts w:ascii="Palatino Linotype" w:hAnsi="Palatino Linotype" w:cs="Times New Roman"/>
          <w:noProof/>
        </w:rPr>
        <w:t xml:space="preserve"> (1999).</w:t>
      </w:r>
    </w:p>
    <w:p w14:paraId="665C5434" w14:textId="77777777" w:rsidR="002A6BD4" w:rsidRPr="002A6BD4" w:rsidRDefault="002A6BD4" w:rsidP="002A6BD4">
      <w:pPr>
        <w:widowControl w:val="0"/>
        <w:autoSpaceDE w:val="0"/>
        <w:autoSpaceDN w:val="0"/>
        <w:adjustRightInd w:val="0"/>
        <w:spacing w:after="0" w:line="240" w:lineRule="auto"/>
        <w:ind w:left="851" w:hanging="851"/>
        <w:jc w:val="both"/>
        <w:rPr>
          <w:rFonts w:ascii="Palatino Linotype" w:hAnsi="Palatino Linotype" w:cs="Times New Roman"/>
          <w:noProof/>
        </w:rPr>
      </w:pPr>
      <w:r w:rsidRPr="002A6BD4">
        <w:rPr>
          <w:rFonts w:ascii="Palatino Linotype" w:hAnsi="Palatino Linotype" w:cs="Times New Roman"/>
          <w:noProof/>
        </w:rPr>
        <w:t xml:space="preserve">Whelan, C. J. (1990). </w:t>
      </w:r>
      <w:r w:rsidRPr="002A6BD4">
        <w:rPr>
          <w:rFonts w:ascii="Palatino Linotype" w:hAnsi="Palatino Linotype" w:cs="Times New Roman"/>
          <w:i/>
          <w:iCs/>
          <w:noProof/>
        </w:rPr>
        <w:t>Small Claim Court-A Comparative Study</w:t>
      </w:r>
      <w:r w:rsidRPr="002A6BD4">
        <w:rPr>
          <w:rFonts w:ascii="Palatino Linotype" w:hAnsi="Palatino Linotype" w:cs="Times New Roman"/>
          <w:noProof/>
        </w:rPr>
        <w:t>. Oxford University Press.</w:t>
      </w:r>
    </w:p>
    <w:p w14:paraId="63523FB9" w14:textId="7B153AD9" w:rsidR="005A15EF" w:rsidRPr="008D1327" w:rsidRDefault="002A6BD4" w:rsidP="008303B6">
      <w:pPr>
        <w:spacing w:after="0" w:line="240" w:lineRule="auto"/>
        <w:jc w:val="both"/>
        <w:rPr>
          <w:rFonts w:ascii="Cambria" w:hAnsi="Cambria" w:cs="Times New Roman"/>
          <w:b/>
          <w:bCs/>
          <w:sz w:val="24"/>
          <w:szCs w:val="24"/>
          <w:lang w:val="en-ID"/>
        </w:rPr>
      </w:pPr>
      <w:r w:rsidRPr="002A6BD4">
        <w:rPr>
          <w:rFonts w:ascii="Palatino Linotype" w:hAnsi="Palatino Linotype" w:cstheme="majorBidi"/>
          <w:b/>
        </w:rPr>
        <w:fldChar w:fldCharType="end"/>
      </w:r>
    </w:p>
    <w:sectPr w:rsidR="005A15EF" w:rsidRPr="008D1327" w:rsidSect="00210EF4">
      <w:headerReference w:type="even" r:id="rId21"/>
      <w:footerReference w:type="even" r:id="rId22"/>
      <w:pgSz w:w="11907" w:h="16840" w:code="9"/>
      <w:pgMar w:top="1701" w:right="1701" w:bottom="2268"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E9BD" w14:textId="77777777" w:rsidR="00953375" w:rsidRDefault="00953375" w:rsidP="00694E8A">
      <w:pPr>
        <w:spacing w:after="0" w:line="240" w:lineRule="auto"/>
      </w:pPr>
      <w:r>
        <w:separator/>
      </w:r>
    </w:p>
  </w:endnote>
  <w:endnote w:type="continuationSeparator" w:id="0">
    <w:p w14:paraId="3E42127A" w14:textId="77777777" w:rsidR="00953375" w:rsidRDefault="00953375" w:rsidP="0069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alatino">
    <w:charset w:val="00"/>
    <w:family w:val="roman"/>
    <w:pitch w:val="variable"/>
    <w:sig w:usb0="20000A87" w:usb1="08000000" w:usb2="00000008" w:usb3="00000000" w:csb0="000001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9D09" w14:textId="77777777" w:rsidR="002A0B18" w:rsidRPr="007B689C" w:rsidRDefault="002A0B18">
    <w:pPr>
      <w:pStyle w:val="Footer"/>
      <w:rPr>
        <w:sz w:val="18"/>
        <w:szCs w:val="18"/>
        <w:lang w:val="id-ID"/>
      </w:rPr>
    </w:pPr>
    <w:r w:rsidRPr="007B689C">
      <w:rPr>
        <w:rFonts w:ascii="Cambria" w:hAnsi="Cambria"/>
        <w:b/>
        <w:bCs/>
        <w:color w:val="000000" w:themeColor="text1"/>
        <w:sz w:val="18"/>
        <w:szCs w:val="18"/>
        <w:lang w:val="id-ID"/>
      </w:rPr>
      <w:t>ulul albab</w:t>
    </w:r>
    <w:r w:rsidRPr="007B689C">
      <w:rPr>
        <w:sz w:val="18"/>
        <w:szCs w:val="18"/>
        <w:lang w:val="id-ID"/>
      </w:rPr>
      <w:t xml:space="preserve">: </w:t>
    </w:r>
    <w:r w:rsidRPr="007B689C">
      <w:rPr>
        <w:rFonts w:asciiTheme="minorBidi" w:hAnsiTheme="minorBidi" w:cstheme="minorBidi"/>
        <w:sz w:val="18"/>
        <w:szCs w:val="18"/>
        <w:lang w:val="id-ID"/>
      </w:rPr>
      <w:t>Jurnal Studi dan Penelitian Hukum Islam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C5C0" w14:textId="77777777" w:rsidR="00953375" w:rsidRDefault="00953375" w:rsidP="00694E8A">
      <w:pPr>
        <w:spacing w:after="0" w:line="240" w:lineRule="auto"/>
      </w:pPr>
      <w:r>
        <w:separator/>
      </w:r>
    </w:p>
  </w:footnote>
  <w:footnote w:type="continuationSeparator" w:id="0">
    <w:p w14:paraId="20899F1C" w14:textId="77777777" w:rsidR="00953375" w:rsidRDefault="00953375" w:rsidP="00694E8A">
      <w:pPr>
        <w:spacing w:after="0" w:line="240" w:lineRule="auto"/>
      </w:pPr>
      <w:r>
        <w:continuationSeparator/>
      </w:r>
    </w:p>
  </w:footnote>
  <w:footnote w:id="1">
    <w:p w14:paraId="1C1DB1DD" w14:textId="77777777" w:rsidR="00DC7466" w:rsidRPr="00095240" w:rsidRDefault="00DC7466"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{"citationItems":[{"id":"ITEM-1","itemData":{"author":[{"dropping-particle":"","family":"Badilag MA RI","given":"","non-dropping-particle":"","parse-names":false,"suffix":""}],"id":"ITEM-1","issued":{"date-parts":[["2016"]]},"title":"Peraturan Mahkamah Agung RI Nomor 14 Tahun 2016 tentang Tata Cara Penyelesaian Perkara Ekonomi Syariah. BNRI Tahun 2016 Nomor 2059.","type":"legislation"},"uris":["http://www.mendeley.com/documents/?uuid=aa147798-6c47-428b-a6a9-30ec3fee4961"]}],"mendeley":{"formattedCitation":"(Peraturan Mahkamah Agung RI Nomor 14 Tahun 2016 Tentang Tata Cara Penyelesaian Perkara Ekonomi Syariah. BNRI Tahun 2016 Nomor 2059., 2016)","plainTextFormattedCitation":"(Peraturan Mahkamah Agung RI Nomor 14 Tahun 2016 Tentang Tata Cara Penyelesaian Perkara Ekonomi Syariah. BNRI Tahun 2016 Nomor 2059., 2016)","previouslyFormattedCitation":"(Peraturan Mahkamah Agung RI Nomor 14 Tahun 2016 Tentang Tata Cara Penyelesaian Perkara Ekonomi Syariah. BNRI Tahun 2016 Nomor 2059., 2016)"},"properties":{"noteIndex":0},"schema":"https://github.com/citation-style-language/schema/raw/master/csl-citation.json"}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(Peraturan Mahkamah Agung RI Nomor 14 Tahun 2016 Tentang Tata Cara Penyelesaian Perkara Ekonomi Syariah. BNRI Tahun 2016 Nomor 2059., 2016)</w:t>
      </w:r>
      <w:r w:rsidRPr="00095240">
        <w:rPr>
          <w:rFonts w:ascii="Palatino Linotype" w:hAnsi="Palatino Linotype" w:cstheme="majorBidi"/>
        </w:rPr>
        <w:fldChar w:fldCharType="end"/>
      </w:r>
    </w:p>
  </w:footnote>
  <w:footnote w:id="2">
    <w:p w14:paraId="3A3D2C66" w14:textId="77777777" w:rsidR="00DC7466" w:rsidRPr="00095240" w:rsidRDefault="00DC7466"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{"citationItems":[{"id":"ITEM-1","itemData":{"abstract":"Peradilan","author":[{"dropping-particle":"","family":"Nomor 3","given":"Undanng-Undang","non-dropping-particle":"","parse-names":false,"suffix":""}],"id":"ITEM-1","issued":{"date-parts":[["2006"]]},"number":"Lembaran Negara Republik Indonesia Tahun 2006 Nomor 22. Tambahan Lembaran Negara Republik Indonesia Nomor 4611.","title":"Tentang Perubahan atas Undang-Undang Nomor 7 Tahun 1989 Tentang Peradilan Agama","type":"legislation"},"uris":["http://www.mendeley.com/documents/?uuid=24e58e9c-6f8d-4a01-a537-15753614f8a1"]}],"mendeley":{"formattedCitation":"(Tentang Perubahan Atas Undang-Undang Nomor 7 Tahun 1989 Tentang Peradilan Agama, 2006)","manualFormatting":"Undang-Undang Nomor 3, “Tentang Perubahan Atas Undang-Undang Nomor 7 Tahun 1989 Tentang Peradilan Agama,” Lembaran Negara Republik Indonesia Tahun 2006 Nomor 22. Tambahan Lembaran Negara Republik Indonesia Nomor 4611. (2006).","plainTextFormattedCitation":"(Tentang Perubahan Atas Undang-Undang Nomor 7 Tahun 1989 Tentang Peradilan Agama, 2006)","previouslyFormattedCitation":"(Tentang Perubahan Atas Undang-Undang Nomor 7 Tahun 1989 Tentang Peradilan Agama, 2006)"},"properties":{"noteIndex":0},"schema":"https://github.com/citation-style-language/schema/raw/master/csl-citation.json"}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Undang-Undang Nomor 3, “Tentang Perubahan Atas Undang-Undang Nomor 7 Tahun 1989 Tentang Peradilan Agama,” Lembaran Negara Republik Indonesia Tahun 2006 Nomor 22. Tambahan Lembaran Negara Republik Indonesia Nomor 4611. (2006).</w:t>
      </w:r>
      <w:r w:rsidRPr="00095240">
        <w:rPr>
          <w:rFonts w:ascii="Palatino Linotype" w:hAnsi="Palatino Linotype" w:cstheme="majorBidi"/>
        </w:rPr>
        <w:fldChar w:fldCharType="end"/>
      </w:r>
    </w:p>
  </w:footnote>
  <w:footnote w:id="3">
    <w:p w14:paraId="57DD18F9" w14:textId="6C756B49" w:rsidR="00DC7466" w:rsidRPr="00095240" w:rsidRDefault="00DC7466"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00EB2DD2" w:rsidRPr="00095240">
        <w:rPr>
          <w:rFonts w:ascii="Palatino Linotype" w:hAnsi="Palatino Linotype" w:cstheme="majorBidi"/>
          <w:lang w:val="en"/>
        </w:rPr>
        <w:t xml:space="preserve"> </w:t>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{"citationItems":[{"id":"ITEM-1","itemData":{"abstract":"Arbitrase dan Alternatif Penyelesaian Sengketa","author":[{"dropping-particle":"","family":"Undang-Undang Nomor 30","given":"","non-dropping-particle":"","parse-names":false,"suffix":""}],"container-title":"Undang-Undang","id":"ITEM-1","issued":{"date-parts":[["1999"]]},"publisher":"Pemerintah Republik Indonesia","publisher-place":"Jakarta","title":"Tentang Arbitrase dan Alternatif Penyelesaian Sengketa","type":"legislation"},"uris":["http://www.mendeley.com/documents/?uuid=c061e783-9182-488a-bc18-25a65ed95ddb"]}],"mendeley":{"formattedCitation":"(Tentang Arbitrase Dan Alternatif Penyelesaian Sengketa, 1999)","manualFormatting":"Undang-Undang Nomor 30, “Tentang Arbitrase Dan Alternatif Penyelesaian Sengketa,” Undang-Undang (1999).","plainTextFormattedCitation":"(Tentang Arbitrase Dan Alternatif Penyelesaian Sengketa, 1999)","previouslyFormattedCitation":"(Tentang Arbitrase Dan Alternatif Penyelesaian Sengketa, 1999)"},"properties":{"noteIndex":0},"schema":"https://github.com/citation-style-language/schema/raw/master/csl-citation.json"}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Undang-Undang Nomor 30, “Tentang Arbitrase Dan Alternatif Penyelesaian Sengketa,” Undang-Undang (1999).</w:t>
      </w:r>
      <w:r w:rsidRPr="00095240">
        <w:rPr>
          <w:rFonts w:ascii="Palatino Linotype" w:hAnsi="Palatino Linotype" w:cstheme="majorBidi"/>
        </w:rPr>
        <w:fldChar w:fldCharType="end"/>
      </w:r>
    </w:p>
  </w:footnote>
  <w:footnote w:id="4">
    <w:p w14:paraId="56606786" w14:textId="56DD277B" w:rsidR="009651BB" w:rsidRPr="00095240" w:rsidRDefault="009651BB" w:rsidP="00EB2DD2">
      <w:pPr>
        <w:pStyle w:val="FootnoteText"/>
        <w:tabs>
          <w:tab w:val="left" w:pos="851"/>
        </w:tabs>
        <w:ind w:firstLine="567"/>
        <w:jc w:val="both"/>
        <w:rPr>
          <w:rFonts w:ascii="Palatino Linotype" w:hAnsi="Palatino Linotype"/>
        </w:rPr>
      </w:pPr>
      <w:r w:rsidRPr="00095240">
        <w:rPr>
          <w:rStyle w:val="FootnoteReference"/>
          <w:rFonts w:ascii="Palatino Linotype" w:hAnsi="Palatino Linotype"/>
        </w:rPr>
        <w:footnoteRef/>
      </w:r>
      <w:r w:rsidRPr="00095240">
        <w:rPr>
          <w:rFonts w:ascii="Palatino Linotype" w:hAnsi="Palatino Linotype"/>
        </w:rPr>
        <w:t xml:space="preserve"> </w:t>
      </w:r>
      <w:r w:rsidR="00EB2DD2" w:rsidRPr="00095240">
        <w:rPr>
          <w:rFonts w:ascii="Palatino Linotype" w:hAnsi="Palatino Linotype"/>
        </w:rPr>
        <w:t xml:space="preserve"> “</w:t>
      </w:r>
      <w:r w:rsidRPr="00095240">
        <w:rPr>
          <w:rFonts w:ascii="Palatino Linotype" w:hAnsi="Palatino Linotype"/>
        </w:rPr>
        <w:fldChar w:fldCharType="begin" w:fldLock="1"/>
      </w:r>
      <w:r w:rsidRPr="00095240">
        <w:rPr>
          <w:rFonts w:ascii="Palatino Linotype" w:hAnsi="Palatino Linotype"/>
        </w:rPr>
        <w:instrText>ADDIN CSL_CITATION {"citationItems":[{"id":"ITEM-1","itemData":{"DOI":"10.61612/jpn.v1i1.5","ISSN":"2798-0219","abstract":"The development of sharia law and economy is in line with Indonesia's national development goal of achieving the creation of a just and prosperous society based on economic democracy. Then developed an economic system based on the value of justice, togetherness, equality, and benefits by sharia principles. The politics of national law, placing a strong side on the legislation of Islamic law, both on the institutional aspect, and the substance of its arrangements. This makes it clear that the existence ofMuslims as the majority of Indonesians is given good legal protection by the state, especially in conducting sharia financial transactions. This is seen, substantially the existence of Islamic law, especially the muamalah law has been made part of the national positive law in Indonesia. Legal research methodology with a descriptive method that is a method that describes a data condition as it is, where there is no intervention of the author in the form of reduction or addition of data, but no interpretation, with the method of approach normatively that is the approach of literacy studies accompanied by the study of legislation related to financing agreements in LKS, by using and paying attention to empirical data as a supporting factorthat is presented in a normative juridical manner. Keywords: Politics, Law, Sharia Economy.","author":[{"dropping-particle":"","family":"Solihin","given":"Dadin","non-dropping-particle":"","parse-names":false,"suffix":""}],"container-title":"Jurnal Pelita Nusa","id":"ITEM-1","issue":"1","issued":{"date-parts":[["2023"]]},"page":"1-18","title":"Tafsir Normatif Terhadap Perkembangan Politik Hukum Ekonomi Syariah","type":"article-journal","volume":"1"},"uris":["http://www.mendeley.com/documents/?uuid=b92c9c49-5d8c-4461-8fb1-211ac5461f5b"]}],"mendeley":{"formattedCitation":"Dadin Solihin, “Tafsir Normatif Terhadap Perkembangan Politik Hukum Ekonomi Syariah,” &lt;i&gt;Jurnal Pelita Nusa&lt;/i&gt; 1, no. 1 (2023): 1–18, https://doi.org/10.61612/jpn.v1i1.5.","plainTextFormattedCitation":"Dadin Solihin, “Tafsir Normatif Terhadap Perkembangan Politik Hukum Ekonomi Syariah,” Jurnal Pelita Nusa 1, no. 1 (2023): 1–18, https://doi.org/10.61612/jpn.v1i1.5.","previouslyFormattedCitation":"Dadin Solihin, “Tafsir Normatif Terhadap Perkembangan Politik Hukum Ekonomi Syariah,” &lt;i&gt;Jurnal Pelita Nusa&lt;/i&gt; 1, no. 1 (2023): 1–18, https://doi.org/10.61612/jpn.v1i1.5."},"properties":{"noteIndex":1},"schema":"https://github.com/citation-style-language/schema/raw/master/csl-citation.json"}</w:instrText>
      </w:r>
      <w:r w:rsidRPr="00095240">
        <w:rPr>
          <w:rFonts w:ascii="Palatino Linotype" w:hAnsi="Palatino Linotype"/>
        </w:rPr>
        <w:fldChar w:fldCharType="separate"/>
      </w:r>
      <w:r w:rsidRPr="00095240">
        <w:rPr>
          <w:rFonts w:ascii="Palatino Linotype" w:hAnsi="Palatino Linotype"/>
          <w:noProof/>
        </w:rPr>
        <w:t>Dadin Solihin</w:t>
      </w:r>
      <w:r w:rsidR="00EB2DD2" w:rsidRPr="00095240">
        <w:rPr>
          <w:rFonts w:ascii="Palatino Linotype" w:hAnsi="Palatino Linotype"/>
          <w:noProof/>
        </w:rPr>
        <w:t>"</w:t>
      </w:r>
      <w:r w:rsidRPr="00095240">
        <w:rPr>
          <w:rFonts w:ascii="Palatino Linotype" w:hAnsi="Palatino Linotype"/>
          <w:noProof/>
        </w:rPr>
        <w:t xml:space="preserve">, “Tafsir Normatif Terhadap Perkembangan Politik Hukum Ekonomi Syariah,” </w:t>
      </w:r>
      <w:r w:rsidRPr="00095240">
        <w:rPr>
          <w:rFonts w:ascii="Palatino Linotype" w:hAnsi="Palatino Linotype"/>
          <w:i/>
          <w:noProof/>
        </w:rPr>
        <w:t>Jurnal Pelita Nusa</w:t>
      </w:r>
      <w:r w:rsidRPr="00095240">
        <w:rPr>
          <w:rFonts w:ascii="Palatino Linotype" w:hAnsi="Palatino Linotype"/>
          <w:noProof/>
        </w:rPr>
        <w:t xml:space="preserve"> 1, no. 1 (2023): 1–18, https://doi.org/10.61612/jpn.v1i1.5.</w:t>
      </w:r>
      <w:r w:rsidRPr="00095240">
        <w:rPr>
          <w:rFonts w:ascii="Palatino Linotype" w:hAnsi="Palatino Linotype"/>
        </w:rPr>
        <w:fldChar w:fldCharType="end"/>
      </w:r>
    </w:p>
  </w:footnote>
  <w:footnote w:id="5">
    <w:p w14:paraId="62D84EA8" w14:textId="445CF5B8" w:rsidR="009651BB" w:rsidRPr="00095240" w:rsidRDefault="009651BB" w:rsidP="005A15EF">
      <w:pPr>
        <w:pStyle w:val="FootnoteText"/>
        <w:tabs>
          <w:tab w:val="left" w:pos="851"/>
        </w:tabs>
        <w:ind w:firstLine="567"/>
        <w:jc w:val="both"/>
        <w:rPr>
          <w:rFonts w:ascii="Palatino Linotype" w:hAnsi="Palatino Linotype"/>
        </w:rPr>
      </w:pPr>
      <w:r w:rsidRPr="00095240">
        <w:rPr>
          <w:rStyle w:val="FootnoteReference"/>
          <w:rFonts w:ascii="Palatino Linotype" w:hAnsi="Palatino Linotype"/>
        </w:rPr>
        <w:footnoteRef/>
      </w:r>
      <w:r w:rsidRPr="00095240">
        <w:rPr>
          <w:rFonts w:ascii="Palatino Linotype" w:hAnsi="Palatino Linotype"/>
        </w:rPr>
        <w:t xml:space="preserve"> </w:t>
      </w:r>
      <w:r w:rsidR="00EB2DD2" w:rsidRPr="00095240">
        <w:rPr>
          <w:rFonts w:ascii="Palatino Linotype" w:hAnsi="Palatino Linotype"/>
        </w:rPr>
        <w:t xml:space="preserve">  </w:t>
      </w:r>
      <w:r w:rsidRPr="00095240">
        <w:rPr>
          <w:rFonts w:ascii="Palatino Linotype" w:hAnsi="Palatino Linotype"/>
        </w:rPr>
        <w:fldChar w:fldCharType="begin" w:fldLock="1"/>
      </w:r>
      <w:r w:rsidRPr="00095240">
        <w:rPr>
          <w:rFonts w:ascii="Palatino Linotype" w:hAnsi="Palatino Linotype"/>
        </w:rPr>
        <w:instrText>ADDIN CSL_CITATION {"citationItems":[{"id":"ITEM-1","itemData":{"DOI":"10.14710/jhp.9.1.25-36","ISSN":"1858-0254","abstract":"Artikel ini dilatarbelakangi belum efektifnya mediasi perbankan syariah dan belum optimalnya penyelesaian sengketa ekonomi syariah di Pengadilan Agama. Artikel ini mengkaji permasalahan terkait bagaimana efektivitas penyelesaian sengketa ekonomi syariah melalui BASYARNAS DIY. Metode yang digunakan dalam penelitian ini dengan menggunakan analisis deskripsi kualitatif. Hasil penelitian menunjukkan bahwa penyelesaian sengketa melalui BASYARNAS DIY berjalan secara efektif dan efisien karena proses penyelesaian sengketa di BASYARNAS sudah memiliki landasan hukum, mediator, arbiter BASYARNAS dan hakim Pengadilan Agama sudah kooperatif dalam proses penyelesaian sengketa, sarana dan prasarana cukup mendukung, pemahaman eksistensi BASYARNAS DIY serta budaya masyarakat yang mempengaruhi keberhasilan penyelesaian perkara di BASYARNAS DIY perlu ditingkatkan.","author":[{"dropping-particle":"","family":"Yunita","given":"Ani","non-dropping-particle":"","parse-names":false,"suffix":""}],"container-title":"Jurnal Hukum Progresif","id":"ITEM-1","issue":"1","issued":{"date-parts":[["2021"]]},"page":"25-36","title":"Efektifitas Penyelesaian Sengketa Ekonomi Syariah Melalui Badan Arbitrase Syariah Nasional Daerah Istimewa Yogyakarta","type":"article-journal","volume":"9"},"uris":["http://www.mendeley.com/documents/?uuid=53476ca8-c27e-4554-b6e3-d70adeb64f70"]}],"mendeley":{"formattedCitation":"Ani Yunita, “Efektifitas Penyelesaian Sengketa Ekonomi Syariah Melalui Badan Arbitrase Syariah Nasional Daerah Istimewa Yogyakarta,” &lt;i&gt;Jurnal Hukum Progresif&lt;/i&gt; 9, no. 1 (2021): 25–36, https://doi.org/10.14710/jhp.9.1.25-36.","plainTextFormattedCitation":"Ani Yunita, “Efektifitas Penyelesaian Sengketa Ekonomi Syariah Melalui Badan Arbitrase Syariah Nasional Daerah Istimewa Yogyakarta,” Jurnal Hukum Progresif 9, no. 1 (2021): 25–36, https://doi.org/10.14710/jhp.9.1.25-36."},"properties":{"noteIndex":3},"schema":"https://github.com/citation-style-language/schema/raw/master/csl-citation.json"}</w:instrText>
      </w:r>
      <w:r w:rsidRPr="00095240">
        <w:rPr>
          <w:rFonts w:ascii="Palatino Linotype" w:hAnsi="Palatino Linotype"/>
        </w:rPr>
        <w:fldChar w:fldCharType="separate"/>
      </w:r>
      <w:r w:rsidRPr="00095240">
        <w:rPr>
          <w:rFonts w:ascii="Palatino Linotype" w:hAnsi="Palatino Linotype"/>
          <w:noProof/>
        </w:rPr>
        <w:t xml:space="preserve">Ani Yunita, "The Effectiveness of Sharia Economic Dispute Resolution through the National Sharia Arbitration Board of the Special Region of Yogyakarta," </w:t>
      </w:r>
      <w:r w:rsidRPr="00095240">
        <w:rPr>
          <w:rFonts w:ascii="Palatino Linotype" w:hAnsi="Palatino Linotype"/>
          <w:i/>
          <w:noProof/>
        </w:rPr>
        <w:t>Journal of Progressive Law</w:t>
      </w:r>
      <w:r w:rsidRPr="00095240">
        <w:rPr>
          <w:rFonts w:ascii="Palatino Linotype" w:hAnsi="Palatino Linotype"/>
          <w:noProof/>
        </w:rPr>
        <w:t xml:space="preserve"> 9, no. 1 (2021): 25–36, https://doi.org/10.14710/jhp.9.1.25-36.</w:t>
      </w:r>
      <w:r w:rsidRPr="00095240">
        <w:rPr>
          <w:rFonts w:ascii="Palatino Linotype" w:hAnsi="Palatino Linotype"/>
        </w:rPr>
        <w:fldChar w:fldCharType="end"/>
      </w:r>
    </w:p>
  </w:footnote>
  <w:footnote w:id="6">
    <w:p w14:paraId="1E6A5E96" w14:textId="4F28D4B8" w:rsidR="009651BB" w:rsidRPr="00095240" w:rsidRDefault="009651BB" w:rsidP="005A15EF">
      <w:pPr>
        <w:pStyle w:val="FootnoteText"/>
        <w:tabs>
          <w:tab w:val="left" w:pos="851"/>
        </w:tabs>
        <w:ind w:firstLine="567"/>
        <w:jc w:val="both"/>
        <w:rPr>
          <w:rFonts w:ascii="Palatino Linotype" w:hAnsi="Palatino Linotype"/>
        </w:rPr>
      </w:pPr>
      <w:r w:rsidRPr="00095240">
        <w:rPr>
          <w:rStyle w:val="FootnoteReference"/>
          <w:rFonts w:ascii="Palatino Linotype" w:hAnsi="Palatino Linotype"/>
        </w:rPr>
        <w:footnoteRef/>
      </w:r>
      <w:r w:rsidRPr="00095240">
        <w:rPr>
          <w:rFonts w:ascii="Palatino Linotype" w:hAnsi="Palatino Linotype"/>
        </w:rPr>
        <w:t xml:space="preserve"> </w:t>
      </w:r>
      <w:r w:rsidR="00EB2DD2" w:rsidRPr="00095240">
        <w:rPr>
          <w:rFonts w:ascii="Palatino Linotype" w:hAnsi="Palatino Linotype"/>
        </w:rPr>
        <w:t xml:space="preserve">  </w:t>
      </w:r>
      <w:r w:rsidRPr="00095240">
        <w:rPr>
          <w:rFonts w:ascii="Palatino Linotype" w:hAnsi="Palatino Linotype"/>
        </w:rPr>
        <w:fldChar w:fldCharType="begin" w:fldLock="1"/>
      </w:r>
      <w:r w:rsidRPr="00095240">
        <w:rPr>
          <w:rFonts w:ascii="Palatino Linotype" w:hAnsi="Palatino Linotype"/>
        </w:rPr>
        <w:instrText>ADDIN CSL_CITATION {"citationItems":[{"id":"ITEM-1","itemData":{"DOI":"10.15575/as.v3i1.17535","ISSN":"2745-8741","abstract":"Perkembangan ekonomi syariah di Indonesia yang signifikan memerlukan perhatian apabila terjadi sengketa pada pelaku ekonomi syariah. Diperlukan penyelesaian yang lebih sederhana, sehingga lahir gugatan sederhana melalui Perma No. 2 Tahun 2015 yang dirubah melalui Perma No. 4 Tahun 2019 yang awal keberadaannya di Indonesia tidak diperuntukan untuk penyelesaian sengeketa ekonomi syariah. Tujuan penelitian ini yaitu Untuk menganalisis implementasi gugatan sederhana dalam penyelesaian sengketa ekonomi syariah di Pengadilan Agama dihubungkan dengan prinsip ekonomi syariah. Hasil penelitian ini menyimpulkan bahwa implementasi gugatan sederhana dalam penyelesaian sengketa ekonomi syariah masih terdapat proses yang bertentangan dengan prinsip ekonomi syariah y.aitu proses eksekusi yang masih bertentangan dengan prinsip keadilan dan prinsip kejujuran, serta waktu pemerikasaan yang lebih dari 25 (dua puluh lima hari) bertentangan dengan prinsip pertanggung jawaban.","author":[{"dropping-particle":"","family":"Susanto","given":"Yoghi Arief","non-dropping-particle":"","parse-names":false,"suffix":""}],"container-title":"Al-Ahwal Al-Syakhsiyyah: Jurnal Hukum Keluarga dan Peradilan Islam","id":"ITEM-1","issue":"1","issued":{"date-parts":[["2022"]]},"page":"81-100","title":"Gugatan Sederhana Pada Penyelesaian Sengeketa Ekonomi Syariah Di Pengadilan Agama Dihubungkan Dengan Prinsip Ekonomi Syariah","type":"article-journal","volume":"3"},"uris":["http://www.mendeley.com/documents/?uuid=78c67222-a3b0-4840-809a-fa805365484b"]}],"mendeley":{"formattedCitation":"Yoghi Arief Susanto, “Gugatan Sederhana Pada Penyelesaian Sengeketa Ekonomi Syariah Di Pengadilan Agama Dihubungkan Dengan Prinsip Ekonomi Syariah,” &lt;i&gt;Al-Ahwal Al-Syakhsiyyah: Jurnal Hukum Keluarga Dan Peradilan Islam&lt;/i&gt; 3, no. 1 (2022): 81–100, https://doi.org/10.15575/as.v3i1.17535.","plainTextFormattedCitation":"Yoghi Arief Susanto, “Gugatan Sederhana Pada Penyelesaian Sengeketa Ekonomi Syariah Di Pengadilan Agama Dihubungkan Dengan Prinsip Ekonomi Syariah,” Al-Ahwal Al-Syakhsiyyah: Jurnal Hukum Keluarga Dan Peradilan Islam 3, no. 1 (2022): 81–100, https://doi.org/10.15575/as.v3i1.17535.","previouslyFormattedCitation":"Yoghi Arief Susanto, “Gugatan Sederhana Pada Penyelesaian Sengeketa Ekonomi Syariah Di Pengadilan Agama Dihubungkan Dengan Prinsip Ekonomi Syariah,” &lt;i&gt;Al-Ahwal Al-Syakhsiyyah: Jurnal Hukum Keluarga Dan Peradilan Islam&lt;/i&gt; 3, no. 1 (2022): 81–100, https://doi.org/10.15575/as.v3i1.17535."},"properties":{"noteIndex":2},"schema":"https://github.com/citation-style-language/schema/raw/master/csl-citation.json"}</w:instrText>
      </w:r>
      <w:r w:rsidRPr="00095240">
        <w:rPr>
          <w:rFonts w:ascii="Palatino Linotype" w:hAnsi="Palatino Linotype"/>
        </w:rPr>
        <w:fldChar w:fldCharType="separate"/>
      </w:r>
      <w:r w:rsidRPr="00095240">
        <w:rPr>
          <w:rFonts w:ascii="Palatino Linotype" w:hAnsi="Palatino Linotype"/>
          <w:noProof/>
        </w:rPr>
        <w:t xml:space="preserve">Yoghi Arief Susanto, “Gugatan Sederhana Pada Penyelesaian Sengeketa Ekonomi Syariah Di Pengadilan Agama Dihubungkan Dengan Prinsip Ekonomi Syariah,” </w:t>
      </w:r>
      <w:r w:rsidRPr="00095240">
        <w:rPr>
          <w:rFonts w:ascii="Palatino Linotype" w:hAnsi="Palatino Linotype"/>
          <w:i/>
          <w:noProof/>
        </w:rPr>
        <w:t>Al-Ahwal Al-Syakhsiyyah: Jurnal Hukum Keluarga Dan Peradilan Islam</w:t>
      </w:r>
      <w:r w:rsidRPr="00095240">
        <w:rPr>
          <w:rFonts w:ascii="Palatino Linotype" w:hAnsi="Palatino Linotype"/>
          <w:noProof/>
        </w:rPr>
        <w:t xml:space="preserve"> 3, no. 1 (2022): 81–100, https://doi.org/10.15575/as.v3i1.17535.</w:t>
      </w:r>
      <w:r w:rsidRPr="00095240">
        <w:rPr>
          <w:rFonts w:ascii="Palatino Linotype" w:hAnsi="Palatino Linotype"/>
        </w:rPr>
        <w:fldChar w:fldCharType="end"/>
      </w:r>
    </w:p>
  </w:footnote>
  <w:footnote w:id="7">
    <w:p w14:paraId="5A02AFDF" w14:textId="27E0DDE8"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00336812" w:rsidRPr="00095240">
        <w:rPr>
          <w:rFonts w:ascii="Palatino Linotype" w:hAnsi="Palatino Linotype" w:cstheme="majorBidi"/>
        </w:rPr>
        <w:t xml:space="preserve"> </w:t>
      </w:r>
      <w:r w:rsidR="007254CE" w:rsidRPr="00095240">
        <w:rPr>
          <w:rFonts w:ascii="Palatino Linotype" w:hAnsi="Palatino Linotype" w:cstheme="majorBidi"/>
        </w:rPr>
        <w:t xml:space="preserve"> </w:t>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{"citationItems":[{"id":"ITEM-1","itemData":{"abstract":"Metode Penelitian","author":[{"dropping-particle":"","family":"Ahmad Saebani","given":"Beni","non-dropping-particle":"","parse-names":false,"suffix":""}],"edition":"Cetakan-I","id":"ITEM-1","issued":{"date-parts":[["2008"]]},"number-of-pages":"44","publisher":"Pustaka Setia","publisher-place":"Bandung","title":"Metode Penelitian","type":"book"},"uris":["http://www.mendeley.com/documents/?uuid=ab5a870d-a6d1-409b-bbe7-171a6ab21430"]}],"mendeley":{"formattedCitation":"(Ahmad Saebani, 2008)","manualFormatting":"Beni Ahmad Saebani, Metode Penelitian, Cetakan-I (Bandung: Pustaka Setia, 2008), p. 44.","plainTextFormattedCitation":"(Ahmad Saebani, 2008)","previouslyFormattedCitation":"(Ahmad Saebani, 2008)"},"properties":{"noteIndex":0},"schema":"https://github.com/citation-style-language/schema/raw/master/csl-citation.json"}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 xml:space="preserve">Beni Ahmad Saebani, </w:t>
      </w:r>
      <w:r w:rsidRPr="00095240">
        <w:rPr>
          <w:rFonts w:ascii="Palatino Linotype" w:hAnsi="Palatino Linotype" w:cstheme="majorBidi"/>
          <w:i/>
          <w:noProof/>
        </w:rPr>
        <w:t>Metode Penelitian</w:t>
      </w:r>
      <w:r w:rsidRPr="00095240">
        <w:rPr>
          <w:rFonts w:ascii="Palatino Linotype" w:hAnsi="Palatino Linotype" w:cstheme="majorBidi"/>
          <w:noProof/>
        </w:rPr>
        <w:t>, Cetakan-I (Bandung: Pustaka Setia, 2008), p. 44.</w:t>
      </w:r>
      <w:r w:rsidRPr="00095240">
        <w:rPr>
          <w:rFonts w:ascii="Palatino Linotype" w:hAnsi="Palatino Linotype" w:cstheme="majorBidi"/>
        </w:rPr>
        <w:fldChar w:fldCharType="end"/>
      </w:r>
    </w:p>
  </w:footnote>
  <w:footnote w:id="8">
    <w:p w14:paraId="37F23FA5"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{"citationItems":[{"id":"ITEM-1","itemData":{"abstract":"Kewenangan, Peradilan Agama, Sengketa Ekonomi Syariah","author":[{"dropping-particle":"","family":"Rahmi","given":"Diana","non-dropping-particle":"","parse-names":false,"suffix":""}],"container-title":"Journal Of Institution And Sharia Finance","id":"ITEM-1","issued":{"date-parts":[["2014"]]},"page":"1","title":"Ruang Lingkup Kewenangan Peradilan Agama Dalam Mengadili Sengketa Ekonomi Syariah","type":"article-journal","volume":"0"},"uris":["http://www.mendeley.com/documents/?uuid=c862eb4b-02b1-48cc-90e9-b7efd1e2f170"]}],"mendeley":{"formattedCitation":"(Rahmi, 2014)","plainTextFormattedCitation":"(Rahmi, 2014)","previouslyFormattedCitation":"(Rahmi, 2014)"},"properties":{"noteIndex":0},"schema":"https://github.com/citation-style-language/schema/raw/master/csl-citation.json"}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(Rahmi, 2014)</w:t>
      </w:r>
      <w:r w:rsidRPr="00095240">
        <w:rPr>
          <w:rFonts w:ascii="Palatino Linotype" w:hAnsi="Palatino Linotype" w:cstheme="majorBidi"/>
        </w:rPr>
        <w:fldChar w:fldCharType="end"/>
      </w:r>
    </w:p>
  </w:footnote>
  <w:footnote w:id="9">
    <w:p w14:paraId="638079ED"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{"citationItems":[{"id":"ITEM-1","itemData":{"ISBN":"978-602-425-013-3","abstract":"Hukum, Perbankan, Syariah","author":[{"dropping-particle":"","family":"Mujahidin","given":"Akhmad","non-dropping-particle":"","parse-names":false,"suffix":""}],"edition":"Cetakan ke","id":"ITEM-1","issued":{"date-parts":[["2017"]]},"number-of-pages":"2","publisher":"PT. Rajafrafindo Persada","publisher-place":"Depok","title":"Hukum Perbankan Syariah","type":"book"},"uris":["http://www.mendeley.com/documents/?uuid=024c1192-ffd2-43f9-bae0-5a2b867ac84f"]}],"mendeley":{"formattedCitation":"(Mujahidin, 2017)","manualFormatting":"Akhmad Mujahidin, Hukum Perbankan Syariah, Cetakan ke-2 (Depok: PT. Rajafrafindo Persada, 2017): p. 2.","plainTextFormattedCitation":"(Mujahidin, 2017)","previouslyFormattedCitation":"(Mujahidin, 2017)"},"properties":{"noteIndex":0},"schema":"https://github.com/citation-style-language/schema/raw/master/csl-citation.json"}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 xml:space="preserve">Akhmad Mujahidin, </w:t>
      </w:r>
      <w:r w:rsidRPr="00095240">
        <w:rPr>
          <w:rFonts w:ascii="Palatino Linotype" w:hAnsi="Palatino Linotype" w:cstheme="majorBidi"/>
          <w:i/>
          <w:noProof/>
        </w:rPr>
        <w:t>Hukum Perbankan Syariah</w:t>
      </w:r>
      <w:r w:rsidRPr="00095240">
        <w:rPr>
          <w:rFonts w:ascii="Palatino Linotype" w:hAnsi="Palatino Linotype" w:cstheme="majorBidi"/>
          <w:noProof/>
        </w:rPr>
        <w:t>, Cetakan ke-2 (Depok: PT. Rajafrafindo Persada, 2017): p. 2.</w:t>
      </w:r>
      <w:r w:rsidRPr="00095240">
        <w:rPr>
          <w:rFonts w:ascii="Palatino Linotype" w:hAnsi="Palatino Linotype" w:cstheme="majorBidi"/>
        </w:rPr>
        <w:fldChar w:fldCharType="end"/>
      </w:r>
    </w:p>
  </w:footnote>
  <w:footnote w:id="10">
    <w:p w14:paraId="52D262E5"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lang w:val="en"/>
        </w:rPr>
        <w:fldChar w:fldCharType="begin" w:fldLock="1"/>
      </w:r>
      <w:r w:rsidRPr="00095240">
        <w:rPr>
          <w:rFonts w:ascii="Palatino Linotype" w:hAnsi="Palatino Linotype" w:cstheme="majorBidi"/>
        </w:rPr>
        <w:instrText>ADDIN CSL_CITATION {"citationItems":[{"id":"ITEM-1","itemData":{"abstract":"Fiqh","author":[{"dropping-particle":"","family":"Sābiq","given":"Sayyid","non-dropping-particle":"","parse-names":false,"suffix":""}],"edition":"Juz III","id":"ITEM-1","issued":{"date-parts":[["1427"]]},"publisher":"Dār Al-Fikr","publisher-place":"Beirut-Libanon","title":"Fiqhu Al-Sunnah","type":"book"},"uris":["http://www.mendeley.com/documents/?uuid=6443c14b-52c3-43c2-b2b3-9b38d2bfc10e"]}],"mendeley":{"formattedCitation":"(Sābiq, 1427)","manualFormatting":"Sayyid Sābiq, Fiqhu Al-Sunnah, Juz III (Beirut-Lebanon: Dār Al-Fikr, 1427): p. 931.","plainTextFormattedCitation":"(Sābiq, 1427)","previouslyFormattedCitation":"(Sābiq, 1427)"},"properties":{"noteIndex":0},"schema":"https://github.com/citation-style-language/schema/raw/master/csl-citation.json"}</w:instrText>
      </w:r>
      <w:r w:rsidRPr="00095240">
        <w:rPr>
          <w:rFonts w:ascii="Palatino Linotype" w:hAnsi="Palatino Linotype" w:cstheme="majorBidi"/>
          <w:lang w:val="en"/>
        </w:rPr>
        <w:fldChar w:fldCharType="separate"/>
      </w:r>
      <w:r w:rsidRPr="00095240">
        <w:rPr>
          <w:rFonts w:ascii="Palatino Linotype" w:hAnsi="Palatino Linotype" w:cstheme="majorBidi"/>
          <w:noProof/>
        </w:rPr>
        <w:t xml:space="preserve">Sayyid Sābiq, </w:t>
      </w:r>
      <w:r w:rsidRPr="00095240">
        <w:rPr>
          <w:rFonts w:ascii="Palatino Linotype" w:hAnsi="Palatino Linotype" w:cstheme="majorBidi"/>
          <w:i/>
          <w:noProof/>
        </w:rPr>
        <w:t>Fiqhu Al-Sunnah</w:t>
      </w:r>
      <w:r w:rsidRPr="00095240">
        <w:rPr>
          <w:rFonts w:ascii="Palatino Linotype" w:hAnsi="Palatino Linotype" w:cstheme="majorBidi"/>
          <w:noProof/>
        </w:rPr>
        <w:t>, Juz III (Beirut-Lebanon: Dār Al-Fikr, 1427): p. 931.</w:t>
      </w:r>
      <w:r w:rsidRPr="00095240">
        <w:rPr>
          <w:rFonts w:ascii="Palatino Linotype" w:hAnsi="Palatino Linotype" w:cstheme="majorBidi"/>
          <w:lang w:val="en"/>
        </w:rPr>
        <w:fldChar w:fldCharType="end"/>
      </w:r>
    </w:p>
  </w:footnote>
  <w:footnote w:id="11">
    <w:p w14:paraId="6C28D750"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rPr>
        <w:fldChar w:fldCharType="begin" w:fldLock="1"/>
      </w:r>
      <w:r w:rsidRPr="00095240">
        <w:rPr>
          <w:rFonts w:ascii="Palatino Linotype" w:hAnsi="Palatino Linotype" w:cstheme="majorBidi"/>
          <w:lang w:val="fi-FI"/>
        </w:rPr>
        <w:instrText>ADDIN CSL_CITATION {"citationItems":[{"id":"ITEM-1","itemData":{"ISBN":"978-602-7985-70-4","abstract":"Perbankan, Syariah","author":[{"dropping-particle":"","family":"Remy Sjahdeini","given":"Sutan","non-dropping-particle":"","parse-names":false,"suffix":""}],"edition":"Cetakan ke","id":"ITEM-1","issued":{"date-parts":[["2015"]]},"number-of-pages":"329","publisher":"Kencana Prenadamedia Group","publisher-place":"Jakarta","title":"Perbankan Syariah","type":"book"},"uris":["http://www.mendeley.com/documents/?uuid=7afb8a1a-12b3-463e-a822-6978574f4a5c"]}],"mendeley":{"formattedCitation":"(Remy Sjahdeini, 2015)","manualFormatting":"Sutan Remy Sjahdeini, Perbankan Syariah, Cetakan ke-2 (Jakarta: Kencana Prenadamedia Group, 2015): p. 329.","plainTextFormattedCitation":"(Remy Sjahdeini, 2015)","previouslyFormattedCitation":"(Remy Sjahdeini, 2015)"},"properties":{"noteIndex":0},"schema":"https://github.com/citation-style-language/schema/raw/master/csl-citation.json"}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lang w:val="fi-FI"/>
        </w:rPr>
        <w:t xml:space="preserve">Sutan Remy Sjahdeini, </w:t>
      </w:r>
      <w:r w:rsidRPr="00095240">
        <w:rPr>
          <w:rFonts w:ascii="Palatino Linotype" w:hAnsi="Palatino Linotype" w:cstheme="majorBidi"/>
          <w:i/>
          <w:noProof/>
          <w:lang w:val="fi-FI"/>
        </w:rPr>
        <w:t>Perbankan Syariah</w:t>
      </w:r>
      <w:r w:rsidRPr="00095240">
        <w:rPr>
          <w:rFonts w:ascii="Palatino Linotype" w:hAnsi="Palatino Linotype" w:cstheme="majorBidi"/>
          <w:noProof/>
          <w:lang w:val="fi-FI"/>
        </w:rPr>
        <w:t>, Cetakan ke-2 (Jakarta: Kencana Prenadamedia Group, 2015): p. 329.</w:t>
      </w:r>
      <w:r w:rsidRPr="00095240">
        <w:rPr>
          <w:rFonts w:ascii="Palatino Linotype" w:hAnsi="Palatino Linotype" w:cstheme="majorBidi"/>
        </w:rPr>
        <w:fldChar w:fldCharType="end"/>
      </w:r>
    </w:p>
  </w:footnote>
  <w:footnote w:id="12">
    <w:p w14:paraId="75D8F605"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rPr>
        <w:fldChar w:fldCharType="begin" w:fldLock="1"/>
      </w:r>
      <w:r w:rsidRPr="00095240">
        <w:rPr>
          <w:rFonts w:ascii="Palatino Linotype" w:hAnsi="Palatino Linotype" w:cstheme="majorBidi"/>
          <w:lang w:val="fi-FI"/>
        </w:rPr>
        <w:instrText>ADDIN CSL_CITATION {"citationItems":[{"id":"ITEM-1","itemData":{"author":[{"dropping-particle":"","family":"MUI","given":"Fatwa DSN","non-dropping-particle":"","parse-names":false,"suffix":""}],"container-title":"Tentang Pembiayaan Musyarakah","id":"ITEM-1","issued":{"date-parts":[["2000"]]},"number":"08","publisher-place":"Jakarta","title":"Pembiayaan Musyarakah","type":"legislation"},"uris":["http://www.mendeley.com/documents/?uuid=b9821eef-647e-4279-aec0-669eda27b9fb"]}],"mendeley":{"formattedCitation":"(Pembiayaan Musyarakah, 2000)","manualFormatting":"Fatwa DSN MUI, “Pembiayaan Musyarakah,” Nomor 08, Tentang Pembiayaan Musyarakah (2000).","plainTextFormattedCitation":"(Pembiayaan Musyarakah, 2000)","previouslyFormattedCitation":"(Pembiayaan Musyarakah, 2000)"},"properties":{"noteIndex":0},"schema":"https://github.com/citation-style-language/schema/raw/master/csl-citation.json"}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lang w:val="fi-FI"/>
        </w:rPr>
        <w:t>Fatwa DSN MUI, “Pembiayaan Musyarakah,” Nomor 08, Tentang Pembiayaan Musyarakah (2000).</w:t>
      </w:r>
      <w:r w:rsidRPr="00095240">
        <w:rPr>
          <w:rFonts w:ascii="Palatino Linotype" w:hAnsi="Palatino Linotype" w:cstheme="majorBidi"/>
        </w:rPr>
        <w:fldChar w:fldCharType="end"/>
      </w:r>
    </w:p>
  </w:footnote>
  <w:footnote w:id="13">
    <w:p w14:paraId="1F6315A1"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proofErr w:type="spellStart"/>
      <w:r w:rsidRPr="00095240">
        <w:rPr>
          <w:rFonts w:ascii="Palatino Linotype" w:hAnsi="Palatino Linotype" w:cstheme="majorBidi"/>
          <w:lang w:val="en"/>
        </w:rPr>
        <w:t>Sudikno</w:t>
      </w:r>
      <w:proofErr w:type="spellEnd"/>
      <w:r w:rsidRPr="00095240">
        <w:rPr>
          <w:rFonts w:ascii="Palatino Linotype" w:hAnsi="Palatino Linotype" w:cstheme="majorBidi"/>
          <w:lang w:val="en"/>
        </w:rPr>
        <w:t xml:space="preserve"> </w:t>
      </w:r>
      <w:proofErr w:type="spellStart"/>
      <w:r w:rsidRPr="00095240">
        <w:rPr>
          <w:rFonts w:ascii="Palatino Linotype" w:hAnsi="Palatino Linotype" w:cstheme="majorBidi"/>
          <w:lang w:val="en"/>
        </w:rPr>
        <w:t>Mertokusumo</w:t>
      </w:r>
      <w:proofErr w:type="spellEnd"/>
      <w:r w:rsidRPr="00095240">
        <w:rPr>
          <w:rFonts w:ascii="Palatino Linotype" w:hAnsi="Palatino Linotype" w:cstheme="majorBidi"/>
          <w:lang w:val="en"/>
        </w:rPr>
        <w:t xml:space="preserve">, Hukum Acara </w:t>
      </w:r>
      <w:proofErr w:type="spellStart"/>
      <w:r w:rsidRPr="00095240">
        <w:rPr>
          <w:rFonts w:ascii="Palatino Linotype" w:hAnsi="Palatino Linotype" w:cstheme="majorBidi"/>
          <w:lang w:val="en"/>
        </w:rPr>
        <w:t>Perdata</w:t>
      </w:r>
      <w:proofErr w:type="spellEnd"/>
      <w:r w:rsidRPr="00095240">
        <w:rPr>
          <w:rFonts w:ascii="Palatino Linotype" w:hAnsi="Palatino Linotype" w:cstheme="majorBidi"/>
          <w:lang w:val="en"/>
        </w:rPr>
        <w:t xml:space="preserve"> Indonesia (Yogyakarta: Liberty, 2006).</w:t>
      </w:r>
    </w:p>
  </w:footnote>
  <w:footnote w:id="14">
    <w:p w14:paraId="3741860C"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r w:rsidRPr="00095240">
        <w:rPr>
          <w:rFonts w:ascii="Palatino Linotype" w:hAnsi="Palatino Linotype" w:cstheme="majorBidi"/>
          <w:lang w:val="en"/>
        </w:rPr>
        <w:fldChar w:fldCharType="begin" w:fldLock="1"/>
      </w:r>
      <w:r w:rsidRPr="00095240">
        <w:rPr>
          <w:rFonts w:ascii="Palatino Linotype" w:hAnsi="Palatino Linotype" w:cstheme="majorBidi"/>
          <w:lang w:val="en"/>
        </w:rPr>
        <w:instrText>ADDIN CSL_CITATION {"citationItems":[{"id":"ITEM-1","itemData":{"abstract":"Bryan A. Gardner, Black's Law Dictionary, 8th Edition, West Publishing, 2004.","author":[{"dropping-particle":"","family":"Gardner","given":"Bryan A","non-dropping-particle":"","parse-names":false,"suffix":""}],"edition":"8th Editio","id":"ITEM-1","issued":{"date-parts":[["2004"]]},"publisher":"West Publishing","title":"Black's Law Dictionary","type":"book"},"uris":["http://www.mendeley.com/documents/?uuid=04edc4bc-a875-470d-817d-556da6f58cb6"]}],"mendeley":{"formattedCitation":"(Gardner, 2004)","manualFormatting":"Bryan A Gardner, Black’s Law Dictionary, 8th Edition (West Publishing, 2004).","plainTextFormattedCitation":"(Gardner, 2004)","previouslyFormattedCitation":"(Gardner, 2004)"},"properties":{"noteIndex":0},"schema":"https://github.com/citation-style-language/schema/raw/master/csl-citation.json"}</w:instrText>
      </w:r>
      <w:r w:rsidRPr="00095240">
        <w:rPr>
          <w:rFonts w:ascii="Palatino Linotype" w:hAnsi="Palatino Linotype" w:cstheme="majorBidi"/>
          <w:lang w:val="en"/>
        </w:rPr>
        <w:fldChar w:fldCharType="separate"/>
      </w:r>
      <w:r w:rsidRPr="00095240">
        <w:rPr>
          <w:rFonts w:ascii="Palatino Linotype" w:hAnsi="Palatino Linotype" w:cstheme="majorBidi"/>
          <w:noProof/>
          <w:lang w:val="en"/>
        </w:rPr>
        <w:t xml:space="preserve">Bryan A Gardner, </w:t>
      </w:r>
      <w:r w:rsidRPr="00095240">
        <w:rPr>
          <w:rFonts w:ascii="Palatino Linotype" w:hAnsi="Palatino Linotype" w:cstheme="majorBidi"/>
          <w:i/>
          <w:noProof/>
          <w:lang w:val="en"/>
        </w:rPr>
        <w:t>Black’s Law Dictionary</w:t>
      </w:r>
      <w:r w:rsidRPr="00095240">
        <w:rPr>
          <w:rFonts w:ascii="Palatino Linotype" w:hAnsi="Palatino Linotype" w:cstheme="majorBidi"/>
          <w:noProof/>
          <w:lang w:val="en"/>
        </w:rPr>
        <w:t>, 8th Edition (West Publishing, 2004).</w:t>
      </w:r>
      <w:r w:rsidRPr="00095240">
        <w:rPr>
          <w:rFonts w:ascii="Palatino Linotype" w:hAnsi="Palatino Linotype" w:cstheme="majorBidi"/>
          <w:lang w:val="en"/>
        </w:rPr>
        <w:fldChar w:fldCharType="end"/>
      </w:r>
    </w:p>
  </w:footnote>
  <w:footnote w:id="15">
    <w:p w14:paraId="67C05BEA"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r w:rsidRPr="00095240">
        <w:rPr>
          <w:rFonts w:ascii="Palatino Linotype" w:hAnsi="Palatino Linotype" w:cstheme="majorBidi"/>
          <w:lang w:val="en"/>
        </w:rPr>
        <w:fldChar w:fldCharType="begin" w:fldLock="1"/>
      </w:r>
      <w:r w:rsidRPr="00095240">
        <w:rPr>
          <w:rFonts w:ascii="Palatino Linotype" w:hAnsi="Palatino Linotype" w:cstheme="majorBidi"/>
          <w:lang w:val="en"/>
        </w:rPr>
        <w:instrText>ADDIN CSL_CITATION {"citationItems":[{"id":"ITEM-1","itemData":{"abstract":"Christopher J. Whelan, Small Claim Court-A Comparative Study, Oxford University Press, New York, 1990.","author":[{"dropping-particle":"","family":"Whelan","given":"Christopher J","non-dropping-particle":"","parse-names":false,"suffix":""}],"id":"ITEM-1","issued":{"date-parts":[["1990"]]},"publisher":"Oxford University Press","publisher-place":"New York","title":"Small Claim Court-A Comparative Study","type":"book"},"uris":["http://www.mendeley.com/documents/?uuid=19f08685-965b-42d5-8404-91bc50491493"]}],"mendeley":{"formattedCitation":"(Whelan, 1990)","plainTextFormattedCitation":"(Whelan, 1990)","previouslyFormattedCitation":"(Whelan, 1990)"},"properties":{"noteIndex":0},"schema":"https://github.com/citation-style-language/schema/raw/master/csl-citation.json"}</w:instrText>
      </w:r>
      <w:r w:rsidRPr="00095240">
        <w:rPr>
          <w:rFonts w:ascii="Palatino Linotype" w:hAnsi="Palatino Linotype" w:cstheme="majorBidi"/>
          <w:lang w:val="en"/>
        </w:rPr>
        <w:fldChar w:fldCharType="separate"/>
      </w:r>
      <w:r w:rsidRPr="00095240">
        <w:rPr>
          <w:rFonts w:ascii="Palatino Linotype" w:hAnsi="Palatino Linotype" w:cstheme="majorBidi"/>
          <w:noProof/>
          <w:lang w:val="en"/>
        </w:rPr>
        <w:t>(Whelan, 1990)</w:t>
      </w:r>
      <w:r w:rsidRPr="00095240">
        <w:rPr>
          <w:rFonts w:ascii="Palatino Linotype" w:hAnsi="Palatino Linotype" w:cstheme="majorBidi"/>
          <w:lang w:val="en"/>
        </w:rPr>
        <w:fldChar w:fldCharType="end"/>
      </w:r>
    </w:p>
  </w:footnote>
  <w:footnote w:id="16">
    <w:p w14:paraId="59930CE1"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{"citationItems":[{"id":"ITEM-1","itemData":{"ISBN":"978-623-218-576-0","abstract":"Wanprestasi","author":[{"dropping-particle":"","family":"Suadi","given":"Amran","non-dropping-particle":"","parse-names":false,"suffix":""}],"edition":"Cetakan Ke","id":"ITEM-1","issued":{"date-parts":[["2020"]]},"number-of-pages":"44-45","publisher":"Kencana Prenadamedia Group","publisher-place":"Jakarta","title":"Wanprestasi Dan Perbuatan Melawan Hukum, Dalam Penyelesaian Sengketa Ekonomi Syariah","type":"book"},"uris":["http://www.mendeley.com/documents/?uuid=1d2b3466-dc2e-4c02-9312-e291b2fe78c1"]}],"mendeley":{"formattedCitation":"(Suadi, 2020)","manualFormatting":"Amran Suadi, Wanprestasi Dan Perbuatan Melawan Hukum, Dalam Penyelesaian Sengketa Ekonomi Syariah, Cetakan Ke-1 (Jakarta: Kencana Prenadamedia Group, 2020): p. 44.","plainTextFormattedCitation":"(Suadi, 2020)","previouslyFormattedCitation":"(Suadi, 2020)"},"properties":{"noteIndex":0},"schema":"https://github.com/citation-style-language/schema/raw/master/csl-citation.json"}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 xml:space="preserve">Amran Suadi, </w:t>
      </w:r>
      <w:r w:rsidRPr="00095240">
        <w:rPr>
          <w:rFonts w:ascii="Palatino Linotype" w:hAnsi="Palatino Linotype" w:cstheme="majorBidi"/>
          <w:i/>
          <w:noProof/>
        </w:rPr>
        <w:t>Wanprestasi Dan Perbuatan Melawan Hukum, Dalam Penyelesaian Sengketa Ekonomi Syariah</w:t>
      </w:r>
      <w:r w:rsidRPr="00095240">
        <w:rPr>
          <w:rFonts w:ascii="Palatino Linotype" w:hAnsi="Palatino Linotype" w:cstheme="majorBidi"/>
          <w:noProof/>
        </w:rPr>
        <w:t>, Cetakan Ke-1 (Jakarta: Kencana Prenadamedia Group, 2020): p. 44.</w:t>
      </w:r>
      <w:r w:rsidRPr="00095240">
        <w:rPr>
          <w:rFonts w:ascii="Palatino Linotype" w:hAnsi="Palatino Linotype" w:cstheme="majorBidi"/>
        </w:rPr>
        <w:fldChar w:fldCharType="end"/>
      </w:r>
    </w:p>
  </w:footnote>
  <w:footnote w:id="17">
    <w:p w14:paraId="7961EAA7"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{"citationItems":[{"id":"ITEM-1","itemData":{"author":[{"dropping-particle":"","family":"M. Echols","given":"Jhon; Shadily, Hassan","non-dropping-particle":"","parse-names":false,"suffix":""}],"edition":"Cetakan XX","id":"ITEM-1","issued":{"date-parts":[["2000"]]},"publisher":"PT. Gramedia Pustaka Utama","publisher-place":"Jakarta","title":"Kamus Inggris Indonesia-An English-Indonesian Dictionary","type":"book"},"uris":["http://www.mendeley.com/documents/?uuid=3e353c6f-ffdf-4d89-b631-264ca4f5e29d"]}],"mendeley":{"formattedCitation":"(M. Echols, 2000)","manualFormatting":"Jhon; Shadily, Hassan M. Echols, Kamus Inggris Indonesia-An English-Indonesian Dictionary, Cetakan XX (Jakarta: PT. Gramedia Pustaka Utama, 2000): p. 395.","plainTextFormattedCitation":"(M. Echols, 2000)","previouslyFormattedCitation":"(M. Echols, 2000)"},"properties":{"noteIndex":0},"schema":"https://github.com/citation-style-language/schema/raw/master/csl-citation.json"}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 xml:space="preserve">Jhon; Shadily, Hassan M. Echols, </w:t>
      </w:r>
      <w:r w:rsidRPr="00095240">
        <w:rPr>
          <w:rFonts w:ascii="Palatino Linotype" w:hAnsi="Palatino Linotype" w:cstheme="majorBidi"/>
          <w:i/>
          <w:noProof/>
        </w:rPr>
        <w:t>Kamus Inggris Indonesia-An English-Indonesian Dictionary</w:t>
      </w:r>
      <w:r w:rsidRPr="00095240">
        <w:rPr>
          <w:rFonts w:ascii="Palatino Linotype" w:hAnsi="Palatino Linotype" w:cstheme="majorBidi"/>
          <w:noProof/>
        </w:rPr>
        <w:t xml:space="preserve">, Cetakan XX (Jakarta: PT. </w:t>
      </w:r>
      <w:r w:rsidRPr="00095240">
        <w:rPr>
          <w:rFonts w:ascii="Palatino Linotype" w:hAnsi="Palatino Linotype" w:cstheme="majorBidi"/>
          <w:noProof/>
          <w:lang w:val="fi-FI"/>
        </w:rPr>
        <w:t>Gramedia Pustaka Utama, 2000): p. 395.</w:t>
      </w:r>
      <w:r w:rsidRPr="00095240">
        <w:rPr>
          <w:rFonts w:ascii="Palatino Linotype" w:hAnsi="Palatino Linotype" w:cstheme="majorBidi"/>
        </w:rPr>
        <w:fldChar w:fldCharType="end"/>
      </w:r>
    </w:p>
  </w:footnote>
  <w:footnote w:id="18">
    <w:p w14:paraId="3C73FD7B"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rPr>
        <w:fldChar w:fldCharType="begin" w:fldLock="1"/>
      </w:r>
      <w:r w:rsidRPr="00095240">
        <w:rPr>
          <w:rFonts w:ascii="Palatino Linotype" w:hAnsi="Palatino Linotype" w:cstheme="majorBidi"/>
          <w:lang w:val="fi-FI"/>
        </w:rPr>
        <w:instrText>ADDIN CSL_CITATION {"citationItems":[{"id":"ITEM-1","itemData":{"ISBN":"979-407-182-X","abstract":"Kamus Bahasa Indonesia","author":[{"dropping-particle":"","family":"Departemen Pendidikan Nasional","given":"Pusat Bahasa","non-dropping-particle":"","parse-names":false,"suffix":""}],"edition":"Kedua","id":"ITEM-1","issued":{"date-parts":[["2008"]]},"publisher":"Balai Pustaka","publisher-place":"Jakarta","title":"Kamus Besar Bahasa Indonesia","type":"book"},"uris":["http://www.mendeley.com/documents/?uuid=515fca34-779c-40e5-ab66-096a5dab661d"]}],"mendeley":{"formattedCitation":"(Departemen Pendidikan Nasional, 2008)","manualFormatting":"Departemen Pendidikan Nasional Bahasa, Pusat, Kamus Besar Bahasa Indonesia, Edisi Kedua (Jakarta: Balai Pustaka, 2008): 1006.","plainTextFormattedCitation":"(Departemen Pendidikan Nasional, 2008)","previouslyFormattedCitation":"(Departemen Pendidikan Nasional, 2008)"},"properties":{"noteIndex":0},"schema":"https://github.com/citation-style-language/schema/raw/master/csl-citation.json"}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lang w:val="fi-FI"/>
        </w:rPr>
        <w:t xml:space="preserve">Departemen Pendidikan Nasional Bahasa, Pusat, </w:t>
      </w:r>
      <w:r w:rsidRPr="00095240">
        <w:rPr>
          <w:rFonts w:ascii="Palatino Linotype" w:hAnsi="Palatino Linotype" w:cstheme="majorBidi"/>
          <w:i/>
          <w:noProof/>
          <w:lang w:val="fi-FI"/>
        </w:rPr>
        <w:t>Kamus Besar Bahasa Indonesia</w:t>
      </w:r>
      <w:r w:rsidRPr="00095240">
        <w:rPr>
          <w:rFonts w:ascii="Palatino Linotype" w:hAnsi="Palatino Linotype" w:cstheme="majorBidi"/>
          <w:noProof/>
          <w:lang w:val="fi-FI"/>
        </w:rPr>
        <w:t>, Edisi Kedua (Jakarta: Balai Pustaka, 2008): 1006.</w:t>
      </w:r>
      <w:r w:rsidRPr="00095240">
        <w:rPr>
          <w:rFonts w:ascii="Palatino Linotype" w:hAnsi="Palatino Linotype" w:cstheme="majorBidi"/>
        </w:rPr>
        <w:fldChar w:fldCharType="end"/>
      </w:r>
    </w:p>
  </w:footnote>
  <w:footnote w:id="19">
    <w:p w14:paraId="48D0386A"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r w:rsidRPr="00095240">
        <w:rPr>
          <w:rFonts w:ascii="Palatino Linotype" w:hAnsi="Palatino Linotype" w:cstheme="majorBidi"/>
          <w:noProof/>
        </w:rPr>
        <w:t xml:space="preserve">M. Echols, </w:t>
      </w:r>
      <w:r w:rsidRPr="00095240">
        <w:rPr>
          <w:rFonts w:ascii="Palatino Linotype" w:hAnsi="Palatino Linotype" w:cstheme="majorBidi"/>
          <w:i/>
          <w:noProof/>
        </w:rPr>
        <w:t xml:space="preserve">Kamus Inggris Indonesia-An English-Indonesian Dictionary: </w:t>
      </w:r>
      <w:r w:rsidRPr="00095240">
        <w:rPr>
          <w:rFonts w:ascii="Palatino Linotype" w:hAnsi="Palatino Linotype" w:cstheme="majorBidi"/>
          <w:noProof/>
        </w:rPr>
        <w:t>p.</w:t>
      </w:r>
      <w:r w:rsidRPr="00095240">
        <w:rPr>
          <w:rFonts w:ascii="Palatino Linotype" w:hAnsi="Palatino Linotype" w:cstheme="majorBidi"/>
          <w:i/>
          <w:noProof/>
        </w:rPr>
        <w:t xml:space="preserve"> </w:t>
      </w:r>
      <w:r w:rsidRPr="00095240">
        <w:rPr>
          <w:rFonts w:ascii="Palatino Linotype" w:hAnsi="Palatino Linotype" w:cstheme="majorBidi"/>
          <w:noProof/>
        </w:rPr>
        <w:t>361.</w:t>
      </w:r>
      <w:r w:rsidRPr="00095240">
        <w:rPr>
          <w:rFonts w:ascii="Palatino Linotype" w:hAnsi="Palatino Linotype" w:cstheme="majorBidi"/>
          <w:lang w:val="en"/>
        </w:rPr>
        <w:t xml:space="preserve"> </w:t>
      </w:r>
    </w:p>
  </w:footnote>
  <w:footnote w:id="20">
    <w:p w14:paraId="77112773"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rPr>
        <w:fldChar w:fldCharType="begin" w:fldLock="1"/>
      </w:r>
      <w:r w:rsidRPr="00095240">
        <w:rPr>
          <w:rFonts w:ascii="Palatino Linotype" w:hAnsi="Palatino Linotype" w:cstheme="majorBidi"/>
          <w:lang w:val="fi-FI"/>
        </w:rPr>
        <w:instrText>ADDIN CSL_CITATION {"citationItems":[{"id":"ITEM-1","itemData":{"ISBN":"978-602-422-137-9","abstract":"Penyelesaian Sengketa Hukum Ekonomi Syariah","author":[{"dropping-particle":"","family":"Suadi","given":"Amran","non-dropping-particle":"","parse-names":false,"suffix":""}],"edition":"Cetakan ke","id":"ITEM-1","issued":{"date-parts":[["2017"]]},"publisher":"Kencana Prenadamedia Group","publisher-place":"Jakarta","title":"Penyelesaian Sengketa Ekonomi Syariah - Teori dan Praktik","type":"book"},"uris":["http://www.mendeley.com/documents/?uuid=add99774-9a78-445a-8ebb-06cf97446e58"]}],"mendeley":{"formattedCitation":"(Suadi, 2017)","manualFormatting":"Amran Suadi, Penyelesaian Sengketa Ekonomi Syariah - Teori Dan Praktik, Cetakan ke-1 (Jakarta: Kencana Prenadamedia Group, 2017): p. 55.","plainTextFormattedCitation":"(Suadi, 2017)","previouslyFormattedCitation":"(Suadi, 2017)"},"properties":{"noteIndex":0},"schema":"https://github.com/citation-style-language/schema/raw/master/csl-citation.json"}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lang w:val="fi-FI"/>
        </w:rPr>
        <w:t xml:space="preserve">Amran Suadi, </w:t>
      </w:r>
      <w:r w:rsidRPr="00095240">
        <w:rPr>
          <w:rFonts w:ascii="Palatino Linotype" w:hAnsi="Palatino Linotype" w:cstheme="majorBidi"/>
          <w:i/>
          <w:noProof/>
          <w:lang w:val="fi-FI"/>
        </w:rPr>
        <w:t>Penyelesaian Sengketa Ekonomi Syariah - Teori Dan Praktik</w:t>
      </w:r>
      <w:r w:rsidRPr="00095240">
        <w:rPr>
          <w:rFonts w:ascii="Palatino Linotype" w:hAnsi="Palatino Linotype" w:cstheme="majorBidi"/>
          <w:noProof/>
          <w:lang w:val="fi-FI"/>
        </w:rPr>
        <w:t>, Cetakan ke-1 (Jakarta: Kencana Prenadamedia Group, 2017): p. 55.</w:t>
      </w:r>
      <w:r w:rsidRPr="00095240">
        <w:rPr>
          <w:rFonts w:ascii="Palatino Linotype" w:hAnsi="Palatino Linotype" w:cstheme="majorBidi"/>
        </w:rPr>
        <w:fldChar w:fldCharType="end"/>
      </w:r>
    </w:p>
  </w:footnote>
  <w:footnote w:id="21">
    <w:p w14:paraId="68236B06"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lang w:val="en"/>
        </w:rPr>
        <w:fldChar w:fldCharType="begin" w:fldLock="1"/>
      </w:r>
      <w:r w:rsidRPr="00095240">
        <w:rPr>
          <w:rFonts w:ascii="Palatino Linotype" w:hAnsi="Palatino Linotype" w:cstheme="majorBidi"/>
          <w:lang w:val="fi-FI"/>
        </w:rPr>
        <w:instrText>ADDIN CSL_CITATION {"citationItems":[{"id":"ITEM-1","itemData":{"ISBN":"978-602-422-137-9","abstract":"Penyelesaian Sengketa Hukum Ekonomi Syariah","author":[{"dropping-particle":"","family":"Suadi","given":"Amran","non-dropping-particle":"","parse-names":false,"suffix":""}],"edition":"Cetakan ke","id":"ITEM-1","issued":{"date-parts":[["2017"]]},"publisher":"Kencana Prenadamedia Group","publisher-place":"Jakarta","title":"Penyelesaian Sengketa Ekonomi Syariah - Teori dan Praktik","type":"book"},"uris":["http://www.mendeley.com/documents/?uuid=add99774-9a78-445a-8ebb-06cf97446e58"]}],"mendeley":{"formattedCitation":"(Suadi, 2017)","manualFormatting":"Suadi: p. 57.","plainTextFormattedCitation":"(Suadi, 2017)","previouslyFormattedCitation":"(Suadi, 2017)"},"properties":{"noteIndex":0},"schema":"https://github.com/citation-style-language/schema/raw/master/csl-citation.json"}</w:instrText>
      </w:r>
      <w:r w:rsidRPr="00095240">
        <w:rPr>
          <w:rFonts w:ascii="Palatino Linotype" w:hAnsi="Palatino Linotype" w:cstheme="majorBidi"/>
          <w:lang w:val="en"/>
        </w:rPr>
        <w:fldChar w:fldCharType="separate"/>
      </w:r>
      <w:r w:rsidRPr="00095240">
        <w:rPr>
          <w:rFonts w:ascii="Palatino Linotype" w:hAnsi="Palatino Linotype" w:cstheme="majorBidi"/>
          <w:noProof/>
          <w:lang w:val="fi-FI"/>
        </w:rPr>
        <w:t>Suadi: p. 57.</w:t>
      </w:r>
      <w:r w:rsidRPr="00095240">
        <w:rPr>
          <w:rFonts w:ascii="Palatino Linotype" w:hAnsi="Palatino Linotype" w:cstheme="majorBidi"/>
          <w:lang w:val="en"/>
        </w:rPr>
        <w:fldChar w:fldCharType="end"/>
      </w:r>
    </w:p>
  </w:footnote>
  <w:footnote w:id="22">
    <w:p w14:paraId="31CDB5F3"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rPr>
        <w:fldChar w:fldCharType="begin" w:fldLock="1"/>
      </w:r>
      <w:r w:rsidRPr="00095240">
        <w:rPr>
          <w:rFonts w:ascii="Palatino Linotype" w:hAnsi="Palatino Linotype" w:cstheme="majorBidi"/>
          <w:lang w:val="fi-FI"/>
        </w:rPr>
        <w:instrText>ADDIN CSL_CITATION {"citationItems":[{"id":"ITEM-1","itemData":{"abstract":"The management of hajj savings currently still raises many problems in relation with, for examples, the management of hajj saving for investment and the transparency of the management as well. Based on the fact, this paper aims to analyse the management of hajj saving in the perspective of sharia agreement law. The method of the study uses normative law using a statutory and conceptual approach. The sources of primary law material were obtained from various laws and regulations, while the secondary law materials were obtained from the publications or scientific articles. The technique of analysis of law material uses the analysis perspective by using logic and reasoning law to answer the issue of the law. The result of the research showed that the hajj saving using deposit agreement (wadi</w:instrText>
      </w:r>
      <w:r w:rsidRPr="00095240">
        <w:rPr>
          <w:rFonts w:ascii="Times New Roman" w:hAnsi="Times New Roman" w:cs="Times New Roman"/>
          <w:lang w:val="fi-FI"/>
        </w:rPr>
        <w:instrText>‟</w:instrText>
      </w:r>
      <w:r w:rsidRPr="00095240">
        <w:rPr>
          <w:rFonts w:ascii="Palatino Linotype" w:hAnsi="Palatino Linotype" w:cstheme="majorBidi"/>
          <w:lang w:val="fi-FI"/>
        </w:rPr>
        <w:instrText>ah yad dhamanah) and profit-sharing agreements (mudharabah muthlaqah dan muqayyadah). From those two kinds of agreement, the customers of hajj saving have automatically permitted the Bank to use the hajj saving. However, if the contract that is used is mudharabah muqayyadah, the customers of hajj savings can provide special restriction to the Bank to use and to manage the money in accordance with the agreement of both parties. Therefore, there should be transparency in the management of hajj savings as a form of responsibility of the manager to the customers.","author":[{"dropping-particle":"","family":"Dhiljam Nuhqila","given":"Evita Premila","non-dropping-particle":"","parse-names":false,"suffix":""}],"id":"ITEM-1","issue":"1","issued":{"date-parts":[["2020"]]},"page":"85-101","title":"Pengelolaan Tabungan Haji Perspektif Hukum Perjanjian Syariah","type":"article-journal","volume":"18"},"uris":["http://www.mendeley.com/documents/?uuid=6834e9a2-c41e-4a53-9ae9-4fd17b26e257"]}],"mendeley":{"formattedCitation":"(Dhiljam Nuhqila, 2020)","manualFormatting":"Evita Premila Dhiljam Nuhqila, “Pengelolaan Tabungan Haji Perspektif Hukum Perjanjian Syariah” 18, no. 1 (2020): p. 85–101.","plainTextFormattedCitation":"(Dhiljam Nuhqila, 2020)","previouslyFormattedCitation":"(Dhiljam Nuhqila, 2020)"},"properties":{"noteIndex":0},"schema":"https://github.com/citation-style-language/schema/raw/master/csl-citation.json"}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lang w:val="fi-FI"/>
        </w:rPr>
        <w:t>Evita Premila Dhiljam Nuhqila, “Pengelolaan Tabungan Haji Perspektif Hukum Perjanjian Syariah” 18, no. 1 (2020): p. 85–101.</w:t>
      </w:r>
      <w:r w:rsidRPr="00095240">
        <w:rPr>
          <w:rFonts w:ascii="Palatino Linotype" w:hAnsi="Palatino Linotype" w:cstheme="majorBidi"/>
        </w:rPr>
        <w:fldChar w:fldCharType="end"/>
      </w:r>
    </w:p>
  </w:footnote>
  <w:footnote w:id="23">
    <w:p w14:paraId="3BC9ECEA"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rPr>
        <w:fldChar w:fldCharType="begin" w:fldLock="1"/>
      </w:r>
      <w:r w:rsidRPr="00095240">
        <w:rPr>
          <w:rFonts w:ascii="Palatino Linotype" w:hAnsi="Palatino Linotype" w:cstheme="majorBidi"/>
          <w:lang w:val="fi-FI"/>
        </w:rPr>
        <w:instrText>ADDIN CSL_CITATION {"citationItems":[{"id":"ITEM-1","itemData":{"abstract":"PASAL 1338","author":[{"dropping-particle":"","family":"Pustaka Yustisia","given":"","non-dropping-particle":"","parse-names":false,"suffix":""}],"id":"ITEM-1","issued":{"date-parts":[["2015"]]},"number-of-pages":"185","publisher":"Penerbit Pustaka Yustisia","publisher-place":"Yogyakarta","title":"Kitab Undang-undang Hukum Perdata (KUH Perdata)","type":"book"},"uris":["http://www.mendeley.com/documents/?uuid=7f3c2719-06b2-4aad-9f5a-06c9c366b9d5"]}],"mendeley":{"formattedCitation":"(Pustaka Yustisia, 2015)","manualFormatting":"Pustaka Yustisia, Kitab Undang-Undang Hukum Perdata (KUH Perdata) (Yogyakarta: Penerbit Pustaka Yustisia, 2015): p. 185.","plainTextFormattedCitation":"(Pustaka Yustisia, 2015)","previouslyFormattedCitation":"(Pustaka Yustisia, 2015)"},"properties":{"noteIndex":0},"schema":"https://github.com/citation-style-language/schema/raw/master/csl-citation.json"}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lang w:val="fi-FI"/>
        </w:rPr>
        <w:t xml:space="preserve">Pustaka Yustisia, </w:t>
      </w:r>
      <w:r w:rsidRPr="00095240">
        <w:rPr>
          <w:rFonts w:ascii="Palatino Linotype" w:hAnsi="Palatino Linotype" w:cstheme="majorBidi"/>
          <w:i/>
          <w:noProof/>
          <w:lang w:val="fi-FI"/>
        </w:rPr>
        <w:t>Kitab Undang-Undang Hukum Perdata (KUH Perdata)</w:t>
      </w:r>
      <w:r w:rsidRPr="00095240">
        <w:rPr>
          <w:rFonts w:ascii="Palatino Linotype" w:hAnsi="Palatino Linotype" w:cstheme="majorBidi"/>
          <w:noProof/>
          <w:lang w:val="fi-FI"/>
        </w:rPr>
        <w:t xml:space="preserve"> (Yogyakarta: Penerbit Pustaka Yustisia, 2015): p. 185.</w:t>
      </w:r>
      <w:r w:rsidRPr="00095240">
        <w:rPr>
          <w:rFonts w:ascii="Palatino Linotype" w:hAnsi="Palatino Linotype" w:cstheme="majorBidi"/>
        </w:rPr>
        <w:fldChar w:fldCharType="end"/>
      </w:r>
    </w:p>
  </w:footnote>
  <w:footnote w:id="24">
    <w:p w14:paraId="4C92AB58"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rPr>
        <w:fldChar w:fldCharType="begin" w:fldLock="1"/>
      </w:r>
      <w:r w:rsidRPr="00095240">
        <w:rPr>
          <w:rFonts w:ascii="Palatino Linotype" w:hAnsi="Palatino Linotype" w:cstheme="majorBidi"/>
          <w:lang w:val="fi-FI"/>
        </w:rPr>
        <w:instrText>ADDIN CSL_CITATION {"citationItems":[{"id":"ITEM-1","itemData":{"ISBN":"978-602-7985-70-4","abstract":"Perbankan, Syariah","author":[{"dropping-particle":"","family":"Remy Sjahdeini","given":"Sutan","non-dropping-particle":"","parse-names":false,"suffix":""}],"edition":"Cetakan ke","id":"ITEM-1","issued":{"date-parts":[["2015"]]},"number-of-pages":"329","publisher":"Kencana Prenadamedia Group","publisher-place":"Jakarta","title":"Perbankan Syariah","type":"book"},"uris":["http://www.mendeley.com/documents/?uuid=7afb8a1a-12b3-463e-a822-6978574f4a5c"]}],"mendeley":{"formattedCitation":"(Remy Sjahdeini, 2015)","manualFormatting":"Remy Sjahdeini, Perbankan Syariah: p. 136.","plainTextFormattedCitation":"(Remy Sjahdeini, 2015)","previouslyFormattedCitation":"(Remy Sjahdeini, 2015)"},"properties":{"noteIndex":0},"schema":"https://github.com/citation-style-language/schema/raw/master/csl-citation.json"}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lang w:val="fi-FI"/>
        </w:rPr>
        <w:t xml:space="preserve">Remy Sjahdeini, </w:t>
      </w:r>
      <w:r w:rsidRPr="00095240">
        <w:rPr>
          <w:rFonts w:ascii="Palatino Linotype" w:hAnsi="Palatino Linotype" w:cstheme="majorBidi"/>
          <w:i/>
          <w:noProof/>
          <w:lang w:val="fi-FI"/>
        </w:rPr>
        <w:t>Perbankan Syariah</w:t>
      </w:r>
      <w:r w:rsidRPr="00095240">
        <w:rPr>
          <w:rFonts w:ascii="Palatino Linotype" w:hAnsi="Palatino Linotype" w:cstheme="majorBidi"/>
          <w:noProof/>
          <w:lang w:val="fi-FI"/>
        </w:rPr>
        <w:t>: p. 136.</w:t>
      </w:r>
      <w:r w:rsidRPr="00095240">
        <w:rPr>
          <w:rFonts w:ascii="Palatino Linotype" w:hAnsi="Palatino Linotype" w:cstheme="majorBidi"/>
        </w:rPr>
        <w:fldChar w:fldCharType="end"/>
      </w:r>
    </w:p>
  </w:footnote>
  <w:footnote w:id="25">
    <w:p w14:paraId="31C41CBF"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rPr>
        <w:fldChar w:fldCharType="begin" w:fldLock="1"/>
      </w:r>
      <w:r w:rsidRPr="00095240">
        <w:rPr>
          <w:rFonts w:ascii="Palatino Linotype" w:hAnsi="Palatino Linotype" w:cstheme="majorBidi"/>
          <w:lang w:val="fi-FI"/>
        </w:rPr>
        <w:instrText>ADDIN CSL_CITATION {"citationItems":[{"id":"ITEM-1","itemData":{"abstract":"Hukum; Perjanjian","author":[{"dropping-particle":"","family":"Subekti","given":"","non-dropping-particle":"","parse-names":false,"suffix":""}],"id":"ITEM-1","issued":{"date-parts":[["2005"]]},"number-of-pages":"295","publisher":"Intermasa","publisher-place":"Jakarta","title":"Hukum Perjanjian","type":"book"},"uris":["http://www.mendeley.com/documents/?uuid=60122a34-bd8c-49a2-8ee4-a62877eb7841"]}],"mendeley":{"formattedCitation":"(Subekti, 2005)","manualFormatting":"Subekti, Hukum Perjanjian (Jakarta: Intermasa, 2005): p. 295.","plainTextFormattedCitation":"(Subekti, 2005)","previouslyFormattedCitation":"(Subekti, 2005)"},"properties":{"noteIndex":0},"schema":"https://github.com/citation-style-language/schema/raw/master/csl-citation.json"}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lang w:val="fi-FI"/>
        </w:rPr>
        <w:t xml:space="preserve">Subekti, </w:t>
      </w:r>
      <w:r w:rsidRPr="00095240">
        <w:rPr>
          <w:rFonts w:ascii="Palatino Linotype" w:hAnsi="Palatino Linotype" w:cstheme="majorBidi"/>
          <w:i/>
          <w:noProof/>
          <w:lang w:val="fi-FI"/>
        </w:rPr>
        <w:t>Hukum Perjanjian</w:t>
      </w:r>
      <w:r w:rsidRPr="00095240">
        <w:rPr>
          <w:rFonts w:ascii="Palatino Linotype" w:hAnsi="Palatino Linotype" w:cstheme="majorBidi"/>
          <w:noProof/>
          <w:lang w:val="fi-FI"/>
        </w:rPr>
        <w:t xml:space="preserve"> (Jakarta: Intermasa, 2005): p. 295.</w:t>
      </w:r>
      <w:r w:rsidRPr="00095240">
        <w:rPr>
          <w:rFonts w:ascii="Palatino Linotype" w:hAnsi="Palatino Linotype" w:cstheme="majorBidi"/>
        </w:rPr>
        <w:fldChar w:fldCharType="end"/>
      </w:r>
    </w:p>
  </w:footnote>
  <w:footnote w:id="26">
    <w:p w14:paraId="4B8F93B1" w14:textId="2B72BB3A"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{"citationItems":[{"id":"ITEM-1","itemData":{"abstract":"Arbitrase dan Alternatif Penyelesaian Sengketa","author":[{"dropping-particle":"","family":"Undang-Undang Nomor 30","given":"","non-dropping-particle":"","parse-names":false,"suffix":""}],"container-title":"Undang-Undang","id":"ITEM-1","issued":{"date-parts":[["1999"]]},"publisher":"Pemerintah Republik Indonesia","publisher-place":"Jakarta","title":"Tentang Arbitrase dan Alternatif Penyelesaian Sengketa","type":"legislation"},"uris":["http://www.mendeley.com/documents/?uuid=c061e783-9182-488a-bc18-25a65ed95ddb"]}],"mendeley":{"formattedCitation":"(Tentang Arbitrase Dan Alternatif Penyelesaian Sengketa, 1999)","plainTextFormattedCitation":"(Tentang Arbitrase Dan Alternatif Penyelesaian Sengketa, 1999)","previouslyFormattedCitation":"(Tentang Arbitrase Dan Alternatif Penyelesaian Sengketa, 1999)"},"properties":{"noteIndex":0},"schema":"https://github.com/citation-style-language/schema/raw/master/csl-citation.json"}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 xml:space="preserve">(Tentang Arbitrase Dan Alternatif Penyelesaian Sengketa, </w:t>
      </w:r>
      <w:r w:rsidR="0066330D" w:rsidRPr="00095240">
        <w:rPr>
          <w:rFonts w:ascii="Palatino Linotype" w:hAnsi="Palatino Linotype" w:cstheme="majorBidi"/>
          <w:noProof/>
        </w:rPr>
        <w:t>Law Number 30 of</w:t>
      </w:r>
      <w:r w:rsidR="0066330D" w:rsidRPr="00095240">
        <w:rPr>
          <w:rFonts w:ascii="Palatino Linotype" w:hAnsi="Palatino Linotype" w:cstheme="majorBidi"/>
          <w:noProof/>
        </w:rPr>
        <w:t xml:space="preserve"> </w:t>
      </w:r>
      <w:r w:rsidRPr="00095240">
        <w:rPr>
          <w:rFonts w:ascii="Palatino Linotype" w:hAnsi="Palatino Linotype" w:cstheme="majorBidi"/>
          <w:noProof/>
        </w:rPr>
        <w:t>1999)</w:t>
      </w:r>
      <w:r w:rsidRPr="00095240">
        <w:rPr>
          <w:rFonts w:ascii="Palatino Linotype" w:hAnsi="Palatino Linotype" w:cstheme="majorBidi"/>
        </w:rPr>
        <w:fldChar w:fldCharType="end"/>
      </w:r>
    </w:p>
  </w:footnote>
  <w:footnote w:id="27">
    <w:p w14:paraId="5E21D201"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rPr>
        <w:fldChar w:fldCharType="begin" w:fldLock="1"/>
      </w:r>
      <w:r w:rsidRPr="00095240">
        <w:rPr>
          <w:rFonts w:ascii="Palatino Linotype" w:hAnsi="Palatino Linotype" w:cstheme="majorBidi"/>
          <w:lang w:val="fi-FI"/>
        </w:rPr>
        <w:instrText>ADDIN CSL_CITATION {"citationItems":[{"id":"ITEM-1","itemData":{"ISBN":"978-602-422-137-9","abstract":"Penyelesaian Sengketa Hukum Ekonomi Syariah","author":[{"dropping-particle":"","family":"Suadi","given":"Amran","non-dropping-particle":"","parse-names":false,"suffix":""}],"edition":"Cetakan ke","id":"ITEM-1","issued":{"date-parts":[["2017"]]},"publisher":"Kencana Prenadamedia Group","publisher-place":"Jakarta","title":"Penyelesaian Sengketa Ekonomi Syariah - Teori dan Praktik","type":"book"},"uris":["http://www.mendeley.com/documents/?uuid=add99774-9a78-445a-8ebb-06cf97446e58"]}],"mendeley":{"formattedCitation":"(Suadi, 2017)","manualFormatting":"Suadi, Penyelesaian Sengketa Ekonomi Syariah - Teori Dan Praktik: p. 60.","plainTextFormattedCitation":"(Suadi, 2017)","previouslyFormattedCitation":"(Suadi, 2017)"},"properties":{"noteIndex":0},"schema":"https://github.com/citation-style-language/schema/raw/master/csl-citation.json"}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lang w:val="fi-FI"/>
        </w:rPr>
        <w:t xml:space="preserve">Suadi, </w:t>
      </w:r>
      <w:r w:rsidRPr="00095240">
        <w:rPr>
          <w:rFonts w:ascii="Palatino Linotype" w:hAnsi="Palatino Linotype" w:cstheme="majorBidi"/>
          <w:i/>
          <w:noProof/>
          <w:lang w:val="fi-FI"/>
        </w:rPr>
        <w:t>Penyelesaian Sengketa Ekonomi Syariah - Teori Dan Praktik</w:t>
      </w:r>
      <w:r w:rsidRPr="00095240">
        <w:rPr>
          <w:rFonts w:ascii="Palatino Linotype" w:hAnsi="Palatino Linotype" w:cstheme="majorBidi"/>
          <w:noProof/>
          <w:lang w:val="fi-FI"/>
        </w:rPr>
        <w:t>: p. 60.</w:t>
      </w:r>
      <w:r w:rsidRPr="00095240">
        <w:rPr>
          <w:rFonts w:ascii="Palatino Linotype" w:hAnsi="Palatino Linotype" w:cstheme="majorBidi"/>
        </w:rPr>
        <w:fldChar w:fldCharType="end"/>
      </w:r>
    </w:p>
  </w:footnote>
  <w:footnote w:id="28">
    <w:p w14:paraId="52824EFF" w14:textId="77777777" w:rsidR="00B6232B" w:rsidRPr="00095240" w:rsidRDefault="00B6232B" w:rsidP="005A15EF">
      <w:pPr>
        <w:pStyle w:val="FootnoteText"/>
        <w:tabs>
          <w:tab w:val="left" w:pos="851"/>
        </w:tabs>
        <w:ind w:firstLine="567"/>
        <w:jc w:val="both"/>
        <w:rPr>
          <w:rFonts w:ascii="Palatino Linotype" w:hAnsi="Palatino Linotype" w:cstheme="majorBidi"/>
          <w:lang w:val="fi-F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fi-FI"/>
        </w:rPr>
        <w:t xml:space="preserve"> </w:t>
      </w:r>
      <w:r w:rsidRPr="00095240">
        <w:rPr>
          <w:rFonts w:ascii="Palatino Linotype" w:hAnsi="Palatino Linotype" w:cstheme="majorBidi"/>
          <w:lang w:val="fi-FI"/>
        </w:rPr>
        <w:tab/>
      </w:r>
      <w:r w:rsidRPr="00095240">
        <w:rPr>
          <w:rFonts w:ascii="Palatino Linotype" w:hAnsi="Palatino Linotype" w:cstheme="majorBidi"/>
        </w:rPr>
        <w:fldChar w:fldCharType="begin" w:fldLock="1"/>
      </w:r>
      <w:r w:rsidRPr="00095240">
        <w:rPr>
          <w:rFonts w:ascii="Palatino Linotype" w:hAnsi="Palatino Linotype" w:cstheme="majorBidi"/>
          <w:lang w:val="fi-FI"/>
        </w:rPr>
        <w:instrText>ADDIN CSL_CITATION {"citationItems":[{"id":"ITEM-1","itemData":{"abstract":"HES; Teori; Praktik","author":[{"dropping-particle":"","family":"Abdul Manan","given":"","non-dropping-particle":"","parse-names":false,"suffix":""}],"id":"ITEM-1","issued":{"date-parts":[["2016"]]},"publisher":"Prenadamedia Group","publisher-place":"Jakarta","title":"Hukum Ekonomi Syariah dalam Perspektif Kewenangan Peradilan Agama","type":"book"},"uris":["http://www.mendeley.com/documents/?uuid=2b3929aa-549d-46e7-bfe1-b843528a4df2"]}],"mendeley":{"formattedCitation":"(Abdul Manan, 2016)","manualFormatting":"Abdul Manan, Hukum Ekonomi Syariah Dalam Perspektif Kewenangan Peradilan Agama (Jakarta: Prenadamedia Group, 2016): p. 442.","plainTextFormattedCitation":"(Abdul Manan, 2016)","previouslyFormattedCitation":"(Abdul Manan, 2016)"},"properties":{"noteIndex":0},"schema":"https://github.com/citation-style-language/schema/raw/master/csl-citation.json"}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lang w:val="fi-FI"/>
        </w:rPr>
        <w:t xml:space="preserve">Abdul Manan, </w:t>
      </w:r>
      <w:r w:rsidRPr="00095240">
        <w:rPr>
          <w:rFonts w:ascii="Palatino Linotype" w:hAnsi="Palatino Linotype" w:cstheme="majorBidi"/>
          <w:i/>
          <w:noProof/>
          <w:lang w:val="fi-FI"/>
        </w:rPr>
        <w:t>Hukum Ekonomi Syariah Dalam Perspektif Kewenangan Peradilan Agama</w:t>
      </w:r>
      <w:r w:rsidRPr="00095240">
        <w:rPr>
          <w:rFonts w:ascii="Palatino Linotype" w:hAnsi="Palatino Linotype" w:cstheme="majorBidi"/>
          <w:noProof/>
          <w:lang w:val="fi-FI"/>
        </w:rPr>
        <w:t xml:space="preserve"> (Jakarta: Prenadamedia Group, 2016): p. 442.</w:t>
      </w:r>
      <w:r w:rsidRPr="00095240">
        <w:rPr>
          <w:rFonts w:ascii="Palatino Linotype" w:hAnsi="Palatino Linotype" w:cstheme="majorBidi"/>
        </w:rPr>
        <w:fldChar w:fldCharType="end"/>
      </w:r>
    </w:p>
  </w:footnote>
  <w:footnote w:id="29">
    <w:p w14:paraId="6C1D7649"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{"citationItems":[{"id":"ITEM-1","itemData":{"author":[{"dropping-particle":"","family":"Marhamah Saleh","given":"","non-dropping-particle":"","parse-names":false,"suffix":""}],"container-title":"Journal Of Institution And Sharia Finance","id":"ITEM-1","issued":{"date-parts":[["0"]]},"title":"Metode Penyelesaian Sengketa Ekonomi Syariah Dalam Perpektif Hukum Islam Dan Indonesia","type":"article-journal"},"uris":["http://www.mendeley.com/documents/?uuid=20d8df64-ae92-42cc-a41f-606bc14cf0b9"]}],"mendeley":{"formattedCitation":"(Marhamah Saleh, n.d.)","manualFormatting":"Marhamah Saleh, “Metode Penyelesaian Sengketa Ekonomi Syariah Dalam Perpektif Hukum Islam Dan Indonesia,” Journal Of Institution And Sharia Finance, n.d.: p. 40.","plainTextFormattedCitation":"(Marhamah Saleh, n.d.)","previouslyFormattedCitation":"(Marhamah Saleh, n.d.)"},"properties":{"noteIndex":0},"schema":"https://github.com/citation-style-language/schema/raw/master/csl-citation.json"}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 xml:space="preserve">Marhamah Saleh, “Metode Penyelesaian Sengketa Ekonomi Syariah Dalam Perpektif Hukum Islam Dan Indonesia,” </w:t>
      </w:r>
      <w:r w:rsidRPr="00095240">
        <w:rPr>
          <w:rFonts w:ascii="Palatino Linotype" w:hAnsi="Palatino Linotype" w:cstheme="majorBidi"/>
          <w:i/>
          <w:noProof/>
        </w:rPr>
        <w:t>Journal Of Institution And Sharia Finance</w:t>
      </w:r>
      <w:r w:rsidRPr="00095240">
        <w:rPr>
          <w:rFonts w:ascii="Palatino Linotype" w:hAnsi="Palatino Linotype" w:cstheme="majorBidi"/>
          <w:noProof/>
        </w:rPr>
        <w:t>, n.d.: p. 40.</w:t>
      </w:r>
      <w:r w:rsidRPr="00095240">
        <w:rPr>
          <w:rFonts w:ascii="Palatino Linotype" w:hAnsi="Palatino Linotype" w:cstheme="majorBidi"/>
        </w:rPr>
        <w:fldChar w:fldCharType="end"/>
      </w:r>
    </w:p>
  </w:footnote>
  <w:footnote w:id="30">
    <w:p w14:paraId="414FACB4"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{"citationItems":[{"id":"ITEM-1","itemData":{"abstract":"HES; Teori; Praktik","author":[{"dropping-particle":"","family":"Abdul Manan","given":"","non-dropping-particle":"","parse-names":false,"suffix":""}],"id":"ITEM-1","issued":{"date-parts":[["2016"]]},"publisher":"Prenadamedia Group","publisher-place":"Jakarta","title":"Hukum Ekonomi Syariah dalam Perspektif Kewenangan Peradilan Agama","type":"book"},"uris":["http://www.mendeley.com/documents/?uuid=2b3929aa-549d-46e7-bfe1-b843528a4df2"]}],"mendeley":{"formattedCitation":"(Abdul Manan, 2016)","manualFormatting":"Abdul Manan, Hukum Ekonomi Syariah Dalam Perspektif Kewenangan Peradilan Agama: p. 442.","plainTextFormattedCitation":"(Abdul Manan, 2016)","previouslyFormattedCitation":"(Abdul Manan, 2016)"},"properties":{"noteIndex":0},"schema":"https://github.com/citation-style-language/schema/raw/master/csl-citation.json"}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 xml:space="preserve">Abdul Manan, </w:t>
      </w:r>
      <w:r w:rsidRPr="00095240">
        <w:rPr>
          <w:rFonts w:ascii="Palatino Linotype" w:hAnsi="Palatino Linotype" w:cstheme="majorBidi"/>
          <w:i/>
          <w:noProof/>
        </w:rPr>
        <w:t>Hukum Ekonomi Syariah Dalam Perspektif Kewenangan Peradilan Agama</w:t>
      </w:r>
      <w:r w:rsidRPr="00095240">
        <w:rPr>
          <w:rFonts w:ascii="Palatino Linotype" w:hAnsi="Palatino Linotype" w:cstheme="majorBidi"/>
          <w:noProof/>
        </w:rPr>
        <w:t>: p. 442.</w:t>
      </w:r>
      <w:r w:rsidRPr="00095240">
        <w:rPr>
          <w:rFonts w:ascii="Palatino Linotype" w:hAnsi="Palatino Linotype" w:cstheme="majorBidi"/>
        </w:rPr>
        <w:fldChar w:fldCharType="end"/>
      </w:r>
    </w:p>
  </w:footnote>
  <w:footnote w:id="31">
    <w:p w14:paraId="28A15BAB"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{"citationItems":[{"id":"ITEM-1","itemData":{"abstract":"HES; Teori; Praktik","author":[{"dropping-particle":"","family":"Abdul Manan","given":"","non-dropping-particle":"","parse-names":false,"suffix":""}],"id":"ITEM-1","issued":{"date-parts":[["2016"]]},"publisher":"Prenadamedia Group","publisher-place":"Jakarta","title":"Hukum Ekonomi Syariah dalam Perspektif Kewenangan Peradilan Agama","type":"book"},"uris":["http://www.mendeley.com/documents/?uuid=2b3929aa-549d-46e7-bfe1-b843528a4df2"]}],"mendeley":{"formattedCitation":"(Abdul Manan, 2016)","manualFormatting":"Abdul Manan: p. 443.","plainTextFormattedCitation":"(Abdul Manan, 2016)","previouslyFormattedCitation":"(Abdul Manan, 2016)"},"properties":{"noteIndex":0},"schema":"https://github.com/citation-style-language/schema/raw/master/csl-citation.json"}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Abdul Manan: p. 443.</w:t>
      </w:r>
      <w:r w:rsidRPr="00095240">
        <w:rPr>
          <w:rFonts w:ascii="Palatino Linotype" w:hAnsi="Palatino Linotype" w:cstheme="majorBidi"/>
        </w:rPr>
        <w:fldChar w:fldCharType="end"/>
      </w:r>
    </w:p>
  </w:footnote>
  <w:footnote w:id="32">
    <w:p w14:paraId="514686A3"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{"citationItems":[{"id":"ITEM-1","itemData":{"author":[{"dropping-particle":"","family":"Marhamah Saleh","given":"","non-dropping-particle":"","parse-names":false,"suffix":""}],"container-title":"Journal Of Institution And Sharia Finance","id":"ITEM-1","issued":{"date-parts":[["0"]]},"title":"Metode Penyelesaian Sengketa Ekonomi Syariah Dalam Perpektif Hukum Islam Dan Indonesia","type":"article-journal"},"uris":["http://www.mendeley.com/documents/?uuid=20d8df64-ae92-42cc-a41f-606bc14cf0b9"]}],"mendeley":{"formattedCitation":"(Marhamah Saleh, n.d.)","plainTextFormattedCitation":"(Marhamah Saleh, n.d.)","previouslyFormattedCitation":"(Marhamah Saleh, n.d.)"},"properties":{"noteIndex":0},"schema":"https://github.com/citation-style-language/schema/raw/master/csl-citation.json"}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(Marhamah Saleh, n.d.)</w:t>
      </w:r>
      <w:r w:rsidRPr="00095240">
        <w:rPr>
          <w:rFonts w:ascii="Palatino Linotype" w:hAnsi="Palatino Linotype" w:cstheme="majorBidi"/>
        </w:rPr>
        <w:fldChar w:fldCharType="end"/>
      </w:r>
      <w:r w:rsidRPr="00095240">
        <w:rPr>
          <w:rFonts w:ascii="Palatino Linotype" w:hAnsi="Palatino Linotype" w:cstheme="majorBidi"/>
        </w:rPr>
        <w:t>: p. 40.</w:t>
      </w:r>
    </w:p>
  </w:footnote>
  <w:footnote w:id="33">
    <w:p w14:paraId="19A7FB0D"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{"citationItems":[{"id":"ITEM-1","itemData":{"abstract":"HES; Teori; Praktik","author":[{"dropping-particle":"","family":"Abdul Manan","given":"","non-dropping-particle":"","parse-names":false,"suffix":""}],"id":"ITEM-1","issued":{"date-parts":[["2016"]]},"publisher":"Prenadamedia Group","publisher-place":"Jakarta","title":"Hukum Ekonomi Syariah dalam Perspektif Kewenangan Peradilan Agama","type":"book"},"uris":["http://www.mendeley.com/documents/?uuid=2b3929aa-549d-46e7-bfe1-b843528a4df2"]}],"mendeley":{"formattedCitation":"(Abdul Manan, 2016)","plainTextFormattedCitation":"(Abdul Manan, 2016)","previouslyFormattedCitation":"(Abdul Manan, 2016)"},"properties":{"noteIndex":0},"schema":"https://github.com/citation-style-language/schema/raw/master/csl-citation.json"}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(Abdul Manan, 2016)</w:t>
      </w:r>
      <w:r w:rsidRPr="00095240">
        <w:rPr>
          <w:rFonts w:ascii="Palatino Linotype" w:hAnsi="Palatino Linotype" w:cstheme="majorBidi"/>
        </w:rPr>
        <w:fldChar w:fldCharType="end"/>
      </w:r>
      <w:r w:rsidRPr="00095240">
        <w:rPr>
          <w:rFonts w:ascii="Palatino Linotype" w:hAnsi="Palatino Linotype" w:cstheme="majorBidi"/>
        </w:rPr>
        <w:t xml:space="preserve">: p. 445. </w:t>
      </w:r>
    </w:p>
  </w:footnote>
  <w:footnote w:id="34">
    <w:p w14:paraId="5C56E169"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{"citationItems":[{"id":"ITEM-1","itemData":{"abstract":"HES; Teori; Praktik","author":[{"dropping-particle":"","family":"Abdul Manan","given":"","non-dropping-particle":"","parse-names":false,"suffix":""}],"id":"ITEM-1","issued":{"date-parts":[["2016"]]},"publisher":"Prenadamedia Group","publisher-place":"Jakarta","title":"Hukum Ekonomi Syariah dalam Perspektif Kewenangan Peradilan Agama","type":"book"},"uris":["http://www.mendeley.com/documents/?uuid=2b3929aa-549d-46e7-bfe1-b843528a4df2"]}],"mendeley":{"formattedCitation":"(Abdul Manan, 2016)","manualFormatting":"Abdul Manan: 446.","plainTextFormattedCitation":"(Abdul Manan, 2016)","previouslyFormattedCitation":"(Abdul Manan, 2016)"},"properties":{"noteIndex":0},"schema":"https://github.com/citation-style-language/schema/raw/master/csl-citation.json"}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Abdul Manan: 446.</w:t>
      </w:r>
      <w:r w:rsidRPr="00095240">
        <w:rPr>
          <w:rFonts w:ascii="Palatino Linotype" w:hAnsi="Palatino Linotype" w:cstheme="majorBidi"/>
        </w:rPr>
        <w:fldChar w:fldCharType="end"/>
      </w:r>
      <w:r w:rsidRPr="00095240">
        <w:rPr>
          <w:rFonts w:ascii="Palatino Linotype" w:hAnsi="Palatino Linotype" w:cstheme="majorBidi"/>
        </w:rPr>
        <w:t xml:space="preserve"> </w:t>
      </w:r>
      <w:proofErr w:type="spellStart"/>
      <w:r w:rsidRPr="00095240">
        <w:rPr>
          <w:rFonts w:ascii="Palatino Linotype" w:hAnsi="Palatino Linotype" w:cstheme="majorBidi"/>
        </w:rPr>
        <w:t>Pasal</w:t>
      </w:r>
      <w:proofErr w:type="spellEnd"/>
      <w:r w:rsidRPr="00095240">
        <w:rPr>
          <w:rFonts w:ascii="Palatino Linotype" w:hAnsi="Palatino Linotype" w:cstheme="majorBidi"/>
        </w:rPr>
        <w:t xml:space="preserve"> 52, </w:t>
      </w:r>
      <w:proofErr w:type="spellStart"/>
      <w:r w:rsidRPr="00095240">
        <w:rPr>
          <w:rFonts w:ascii="Palatino Linotype" w:hAnsi="Palatino Linotype" w:cstheme="majorBidi"/>
        </w:rPr>
        <w:t>Undang-Undang</w:t>
      </w:r>
      <w:proofErr w:type="spellEnd"/>
      <w:r w:rsidRPr="00095240">
        <w:rPr>
          <w:rFonts w:ascii="Palatino Linotype" w:hAnsi="Palatino Linotype" w:cstheme="majorBidi"/>
        </w:rPr>
        <w:t xml:space="preserve"> </w:t>
      </w:r>
      <w:proofErr w:type="spellStart"/>
      <w:r w:rsidRPr="00095240">
        <w:rPr>
          <w:rFonts w:ascii="Palatino Linotype" w:hAnsi="Palatino Linotype" w:cstheme="majorBidi"/>
        </w:rPr>
        <w:t>Nomor</w:t>
      </w:r>
      <w:proofErr w:type="spellEnd"/>
      <w:r w:rsidRPr="00095240">
        <w:rPr>
          <w:rFonts w:ascii="Palatino Linotype" w:hAnsi="Palatino Linotype" w:cstheme="majorBidi"/>
        </w:rPr>
        <w:t xml:space="preserve"> 30 </w:t>
      </w:r>
      <w:proofErr w:type="spellStart"/>
      <w:r w:rsidRPr="00095240">
        <w:rPr>
          <w:rFonts w:ascii="Palatino Linotype" w:hAnsi="Palatino Linotype" w:cstheme="majorBidi"/>
        </w:rPr>
        <w:t>Tahun</w:t>
      </w:r>
      <w:proofErr w:type="spellEnd"/>
      <w:r w:rsidRPr="00095240">
        <w:rPr>
          <w:rFonts w:ascii="Palatino Linotype" w:hAnsi="Palatino Linotype" w:cstheme="majorBidi"/>
        </w:rPr>
        <w:t xml:space="preserve"> 1999.</w:t>
      </w:r>
    </w:p>
  </w:footnote>
  <w:footnote w:id="35">
    <w:p w14:paraId="0C12621F" w14:textId="79554051"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lang w:val="en"/>
        </w:rPr>
        <w:t xml:space="preserve"> </w:t>
      </w:r>
      <w:r w:rsidRPr="00095240">
        <w:rPr>
          <w:rFonts w:ascii="Palatino Linotype" w:hAnsi="Palatino Linotype" w:cstheme="majorBidi"/>
          <w:lang w:val="en"/>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{"citationItems":[{"id":"ITEM-1","itemData":{"abstract":"Arbitrase dan Alternatif Penyelesaian Sengketa","author":[{"dropping-particle":"","family":"Undang-Undang Nomor 30","given":"","non-dropping-particle":"","parse-names":false,"suffix":""}],"container-title":"Undang-Undang","id":"ITEM-1","issued":{"date-parts":[["1999"]]},"publisher":"Pemerintah Republik Indonesia","publisher-place":"Jakarta","title":"Tentang Arbitrase dan Alternatif Penyelesaian Sengketa","type":"legislation"},"uris":["http://www.mendeley.com/documents/?uuid=c061e783-9182-488a-bc18-25a65ed95ddb"]}],"mendeley":{"formattedCitation":"(Tentang Arbitrase Dan Alternatif Penyelesaian Sengketa, 1999)","plainTextFormattedCitation":"(Tentang Arbitrase Dan Alternatif Penyelesaian Sengketa, 1999)","previouslyFormattedCitation":"(Tentang Arbitrase Dan Alternatif Penyelesaian Sengketa, 1999)"},"properties":{"noteIndex":0},"schema":"https://github.com/citation-style-language/schema/raw/master/csl-citation.json"}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 xml:space="preserve">(Tentang Arbitrase Dan Alternatif Penyelesaian Sengketa, </w:t>
      </w:r>
      <w:r w:rsidR="0066330D" w:rsidRPr="00095240">
        <w:rPr>
          <w:rFonts w:ascii="Palatino Linotype" w:hAnsi="Palatino Linotype" w:cstheme="majorBidi"/>
          <w:noProof/>
        </w:rPr>
        <w:t>Law Number 30 of</w:t>
      </w:r>
      <w:r w:rsidR="0066330D" w:rsidRPr="00095240">
        <w:rPr>
          <w:rFonts w:ascii="Palatino Linotype" w:hAnsi="Palatino Linotype" w:cstheme="majorBidi"/>
          <w:noProof/>
        </w:rPr>
        <w:t xml:space="preserve"> </w:t>
      </w:r>
      <w:r w:rsidRPr="00095240">
        <w:rPr>
          <w:rFonts w:ascii="Palatino Linotype" w:hAnsi="Palatino Linotype" w:cstheme="majorBidi"/>
          <w:noProof/>
        </w:rPr>
        <w:t>1999)</w:t>
      </w:r>
      <w:r w:rsidRPr="00095240">
        <w:rPr>
          <w:rFonts w:ascii="Palatino Linotype" w:hAnsi="Palatino Linotype" w:cstheme="majorBidi"/>
        </w:rPr>
        <w:fldChar w:fldCharType="end"/>
      </w:r>
    </w:p>
  </w:footnote>
  <w:footnote w:id="36">
    <w:p w14:paraId="384B0518"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{"citationItems":[{"id":"ITEM-1","itemData":{"abstract":"Tata Cara Penyelesaian Perkara Ekonomi Syariah","author":[{"dropping-particle":"","family":"Perma RI Nomor 14","given":"","non-dropping-particle":"","parse-names":false,"suffix":""}],"container-title":"Peraturan Mahkamah Agung","id":"ITEM-1","issued":{"date-parts":[["2016"]]},"publisher":"Badilag MA","publisher-place":"Jakarta","title":"Peraturan Mahkamah Agung tentang Tata Cara Penyelesaian Perkara Ekonomi Syariah","type":"chapter"},"uris":["http://www.mendeley.com/documents/?uuid=3f2b92ac-5b9b-46c2-85dd-a89cce5fef4d"]}],"mendeley":{"formattedCitation":"(Perma RI Nomor 14, 2016)","plainTextFormattedCitation":"(Perma RI Nomor 14, 2016)","previouslyFormattedCitation":"(Perma RI Nomor 14, 2016)"},"properties":{"noteIndex":0},"schema":"https://github.com/citation-style-language/schema/raw/master/csl-citation.json"}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(Perma RI Nomor 14, 2016)</w:t>
      </w:r>
      <w:r w:rsidRPr="00095240">
        <w:rPr>
          <w:rFonts w:ascii="Palatino Linotype" w:hAnsi="Palatino Linotype" w:cstheme="majorBidi"/>
        </w:rPr>
        <w:fldChar w:fldCharType="end"/>
      </w:r>
    </w:p>
  </w:footnote>
  <w:footnote w:id="37">
    <w:p w14:paraId="310F4EA6"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{"citationItems":[{"id":"ITEM-1","itemData":{"DOI":"https://doi.org/10.28918/jhi.v18i1.2845","abstract":"MT, Cooperatives, Customers, Legal protection","author":[{"dropping-particle":"","family":"Nurbaiti Prastyananda Yuwono","given":"","non-dropping-particle":"","parse-names":false,"suffix":""}],"container-title":"Jurnal Hukum Islam (JHI)","id":"ITEM-1","issue":"Nomor 1","issued":{"date-parts":[["2020"]]},"page":"37","title":"Perlindungan Hukum Terhadap Nasabah Koperasi Baitul Maal Wat Tamwil (BMT) Tidak Sehat di Kota Yogyakarta","type":"article-journal","volume":"18"},"uris":["http://www.mendeley.com/documents/?uuid=a473b013-2a80-44a7-8ca9-aac0748b7c3a","http://www.mendeley.com/documents/?uuid=9f610cf5-4de6-4206-a196-d903ea8ad9a8"]}],"mendeley":{"formattedCitation":"(Nurbaiti Prastyananda Yuwono, 2020)","plainTextFormattedCitation":"(Nurbaiti Prastyananda Yuwono, 2020)","previouslyFormattedCitation":"(Nurbaiti Prastyananda Yuwono, 2020)"},"properties":{"noteIndex":0},"schema":"https://github.com/citation-style-language/schema/raw/master/csl-citation.json"}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(Nurbaiti Prastyananda Yuwono, 2020)</w:t>
      </w:r>
      <w:r w:rsidRPr="00095240">
        <w:rPr>
          <w:rFonts w:ascii="Palatino Linotype" w:hAnsi="Palatino Linotype" w:cstheme="majorBidi"/>
        </w:rPr>
        <w:fldChar w:fldCharType="end"/>
      </w:r>
    </w:p>
  </w:footnote>
  <w:footnote w:id="38">
    <w:p w14:paraId="3349037B"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{"citationItems":[{"id":"ITEM-1","itemData":{"abstract":"Tata Cara Penyelesaian Perkara Ekonomi Syariah","author":[{"dropping-particle":"","family":"Perma RI Nomor 14","given":"","non-dropping-particle":"","parse-names":false,"suffix":""}],"container-title":"Peraturan Mahkamah Agung","id":"ITEM-1","issued":{"date-parts":[["2016"]]},"publisher":"Badilag MA","publisher-place":"Jakarta","title":"Peraturan Mahkamah Agung tentang Tata Cara Penyelesaian Perkara Ekonomi Syariah","type":"chapter"},"uris":["http://www.mendeley.com/documents/?uuid=3f2b92ac-5b9b-46c2-85dd-a89cce5fef4d"]}],"mendeley":{"formattedCitation":"(Perma RI Nomor 14, 2016)","plainTextFormattedCitation":"(Perma RI Nomor 14, 2016)","previouslyFormattedCitation":"(Perma RI Nomor 14, 2016)"},"properties":{"noteIndex":0},"schema":"https://github.com/citation-style-language/schema/raw/master/csl-citation.json"}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(Perma RI Nomor 14, 2016)</w:t>
      </w:r>
      <w:r w:rsidRPr="00095240">
        <w:rPr>
          <w:rFonts w:ascii="Palatino Linotype" w:hAnsi="Palatino Linotype" w:cstheme="majorBidi"/>
        </w:rPr>
        <w:fldChar w:fldCharType="end"/>
      </w:r>
    </w:p>
  </w:footnote>
  <w:footnote w:id="39">
    <w:p w14:paraId="131762F9"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{"citationItems":[{"id":"ITEM-1","itemData":{"abstract":"Tata Cara Penyelesaian Perkara Ekonomi Syariah","author":[{"dropping-particle":"","family":"Perma RI Nomor 14","given":"","non-dropping-particle":"","parse-names":false,"suffix":""}],"container-title":"Peraturan Mahkamah Agung","id":"ITEM-1","issued":{"date-parts":[["2016"]]},"publisher":"Badilag MA","publisher-place":"Jakarta","title":"Peraturan Mahkamah Agung tentang Tata Cara Penyelesaian Perkara Ekonomi Syariah","type":"chapter"},"uris":["http://www.mendeley.com/documents/?uuid=3f2b92ac-5b9b-46c2-85dd-a89cce5fef4d"]}],"mendeley":{"formattedCitation":"(Perma RI Nomor 14, 2016)","manualFormatting":"Mahkamah Agung RI, Pusat Studi Hukum dan Kebijakan Indonesia (PSHK), dan Lembaga Kajian dan Advokasi untuk Indepedensi Peradilan (LeIP), “Buku Saku Gugatan Sederhana\", (Mahkamah Agung Republik Indonesia 2015)","plainTextFormattedCitation":"(Perma RI Nomor 14, 2016)","previouslyFormattedCitation":"(Perma RI Nomor 14, 2016)"},"properties":{"noteIndex":0},"schema":"https://github.com/citation-style-language/schema/raw/master/csl-citation.json"}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 xml:space="preserve">Mahkamah Agung RI, Pusat Studi Hukum dan Kebijakan Indonesia (PSHK), dan Lembaga Kajian dan Advokasi untuk Indepedensi Peradilan (LeIP), “Buku Saku Gugatan Sederhana", </w:t>
      </w:r>
      <w:sdt>
        <w:sdtPr>
          <w:rPr>
            <w:rFonts w:ascii="Palatino Linotype" w:hAnsi="Palatino Linotype" w:cstheme="majorBidi"/>
            <w:noProof/>
          </w:rPr>
          <w:id w:val="-980306864"/>
          <w:citation/>
        </w:sdtPr>
        <w:sdtContent>
          <w:r w:rsidRPr="00095240">
            <w:rPr>
              <w:rFonts w:ascii="Palatino Linotype" w:hAnsi="Palatino Linotype" w:cstheme="majorBidi"/>
              <w:noProof/>
            </w:rPr>
            <w:fldChar w:fldCharType="begin" w:fldLock="1"/>
          </w:r>
          <w:r w:rsidRPr="00095240">
            <w:rPr>
              <w:rFonts w:ascii="Palatino Linotype" w:hAnsi="Palatino Linotype" w:cstheme="majorBidi"/>
              <w:noProof/>
            </w:rPr>
            <w:instrText xml:space="preserve"> CITATION Mah15 \l 1033 </w:instrText>
          </w:r>
          <w:r w:rsidRPr="00095240">
            <w:rPr>
              <w:rFonts w:ascii="Palatino Linotype" w:hAnsi="Palatino Linotype" w:cstheme="majorBidi"/>
              <w:noProof/>
            </w:rPr>
            <w:fldChar w:fldCharType="separate"/>
          </w:r>
          <w:r w:rsidRPr="00095240">
            <w:rPr>
              <w:rFonts w:ascii="Palatino Linotype" w:hAnsi="Palatino Linotype" w:cstheme="majorBidi"/>
              <w:noProof/>
            </w:rPr>
            <w:t>(Mahkamah Agung Republik Indonesia 2015)</w:t>
          </w:r>
          <w:r w:rsidRPr="00095240">
            <w:rPr>
              <w:rFonts w:ascii="Palatino Linotype" w:hAnsi="Palatino Linotype" w:cstheme="majorBidi"/>
              <w:noProof/>
            </w:rPr>
            <w:fldChar w:fldCharType="end"/>
          </w:r>
        </w:sdtContent>
      </w:sdt>
      <w:r w:rsidRPr="00095240">
        <w:rPr>
          <w:rFonts w:ascii="Palatino Linotype" w:hAnsi="Palatino Linotype" w:cstheme="majorBidi"/>
        </w:rPr>
        <w:fldChar w:fldCharType="end"/>
      </w:r>
    </w:p>
  </w:footnote>
  <w:footnote w:id="40">
    <w:p w14:paraId="033CA368" w14:textId="77777777" w:rsidR="00B6232B" w:rsidRPr="00095240" w:rsidRDefault="00B6232B" w:rsidP="005A15EF">
      <w:pPr>
        <w:pStyle w:val="FootnoteText"/>
        <w:tabs>
          <w:tab w:val="left" w:pos="851"/>
        </w:tabs>
        <w:ind w:firstLine="567"/>
        <w:jc w:val="both"/>
        <w:rPr>
          <w:rFonts w:ascii="Palatino Linotype" w:hAnsi="Palatino Linotype" w:cstheme="majorBidi"/>
        </w:rPr>
      </w:pPr>
      <w:r w:rsidRPr="00095240">
        <w:rPr>
          <w:rStyle w:val="FootnoteReference"/>
          <w:rFonts w:ascii="Palatino Linotype" w:hAnsi="Palatino Linotype" w:cstheme="majorBidi"/>
          <w:lang w:val="en"/>
        </w:rPr>
        <w:footnoteRef/>
      </w:r>
      <w:r w:rsidRPr="00095240">
        <w:rPr>
          <w:rFonts w:ascii="Palatino Linotype" w:hAnsi="Palatino Linotype" w:cstheme="majorBidi"/>
        </w:rPr>
        <w:t xml:space="preserve"> </w:t>
      </w:r>
      <w:r w:rsidRPr="00095240">
        <w:rPr>
          <w:rFonts w:ascii="Palatino Linotype" w:hAnsi="Palatino Linotype" w:cstheme="majorBidi"/>
        </w:rPr>
        <w:tab/>
      </w:r>
      <w:r w:rsidRPr="00095240">
        <w:rPr>
          <w:rFonts w:ascii="Palatino Linotype" w:hAnsi="Palatino Linotype" w:cstheme="majorBidi"/>
        </w:rPr>
        <w:fldChar w:fldCharType="begin" w:fldLock="1"/>
      </w:r>
      <w:r w:rsidRPr="00095240">
        <w:rPr>
          <w:rFonts w:ascii="Palatino Linotype" w:hAnsi="Palatino Linotype" w:cstheme="majorBidi"/>
        </w:rPr>
        <w:instrText>ADDIN CSL_CITATION {"citationItems":[{"id":"ITEM-1","itemData":{"author":[{"dropping-particle":"","family":"Badilag MA RI","given":"","non-dropping-particle":"","parse-names":false,"suffix":""}],"id":"ITEM-1","issued":{"date-parts":[["2016"]]},"title":"Peraturan Mahkamah Agung RI Nomor 14 Tahun 2016 tentang Tata Cara Penyelesaian Perkara Ekonomi Syariah. BNRI Tahun 2016 Nomor 2059.","type":"legislation"},"uris":["http://www.mendeley.com/documents/?uuid=aa147798-6c47-428b-a6a9-30ec3fee4961","http://www.mendeley.com/documents/?uuid=ac420654-4441-4bff-a80a-1904784de03b"]}],"mendeley":{"formattedCitation":"(Peraturan Mahkamah Agung RI Nomor 14 Tahun 2016 Tentang Tata Cara Penyelesaian Perkara Ekonomi Syariah. BNRI Tahun 2016 Nomor 2059., 2016)","plainTextFormattedCitation":"(Peraturan Mahkamah Agung RI Nomor 14 Tahun 2016 Tentang Tata Cara Penyelesaian Perkara Ekonomi Syariah. BNRI Tahun 2016 Nomor 2059., 2016)","previouslyFormattedCitation":"(Peraturan Mahkamah Agung RI Nomor 14 Tahun 2016 Tentang Tata Cara Penyelesaian Perkara Ekonomi Syariah. BNRI Tahun 2016 Nomor 2059., 2016)"},"properties":{"noteIndex":0},"schema":"https://github.com/citation-style-language/schema/raw/master/csl-citation.json"}</w:instrText>
      </w:r>
      <w:r w:rsidRPr="00095240">
        <w:rPr>
          <w:rFonts w:ascii="Palatino Linotype" w:hAnsi="Palatino Linotype" w:cstheme="majorBidi"/>
        </w:rPr>
        <w:fldChar w:fldCharType="separate"/>
      </w:r>
      <w:r w:rsidRPr="00095240">
        <w:rPr>
          <w:rFonts w:ascii="Palatino Linotype" w:hAnsi="Palatino Linotype" w:cstheme="majorBidi"/>
          <w:noProof/>
        </w:rPr>
        <w:t>(Peraturan Mahkamah Agung RI Nomor 14 Tahun 2016 Tentang Tata Cara Penyelesaian Perkara Ekonomi Syariah. BNRI Tahun 2016 Nomor 2059., 2016)</w:t>
      </w:r>
      <w:r w:rsidRPr="00095240">
        <w:rPr>
          <w:rFonts w:ascii="Palatino Linotype" w:hAnsi="Palatino Linotype"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192028"/>
      <w:docPartObj>
        <w:docPartGallery w:val="Page Numbers (Top of Page)"/>
        <w:docPartUnique/>
      </w:docPartObj>
    </w:sdtPr>
    <w:sdtEndPr>
      <w:rPr>
        <w:rFonts w:ascii="Cambria" w:hAnsi="Cambria"/>
        <w:noProof/>
        <w:sz w:val="20"/>
        <w:szCs w:val="20"/>
      </w:rPr>
    </w:sdtEndPr>
    <w:sdtContent>
      <w:p w14:paraId="387C5E6D" w14:textId="77777777" w:rsidR="002A0B18" w:rsidRPr="007B689C" w:rsidRDefault="002A0B18" w:rsidP="007B689C">
        <w:pPr>
          <w:pStyle w:val="Header"/>
          <w:rPr>
            <w:rFonts w:ascii="Cambria" w:hAnsi="Cambria"/>
            <w:sz w:val="20"/>
            <w:szCs w:val="20"/>
          </w:rPr>
        </w:pPr>
        <w:r w:rsidRPr="009D6EDD">
          <w:rPr>
            <w:rFonts w:asciiTheme="majorHAnsi" w:hAnsiTheme="majorHAnsi"/>
            <w:noProof/>
            <w:sz w:val="18"/>
            <w:szCs w:val="18"/>
            <w:lang w:val="id-ID" w:eastAsia="id-ID"/>
          </w:rPr>
          <mc:AlternateContent>
            <mc:Choice Requires="wps">
              <w:drawing>
                <wp:anchor distT="0" distB="0" distL="114300" distR="114300" simplePos="0" relativeHeight="251662336" behindDoc="0" locked="0" layoutInCell="1" allowOverlap="1" wp14:anchorId="09CFFF8B" wp14:editId="0B8B1BFD">
                  <wp:simplePos x="0" y="0"/>
                  <wp:positionH relativeFrom="column">
                    <wp:posOffset>168275</wp:posOffset>
                  </wp:positionH>
                  <wp:positionV relativeFrom="paragraph">
                    <wp:posOffset>-122859</wp:posOffset>
                  </wp:positionV>
                  <wp:extent cx="0" cy="245745"/>
                  <wp:effectExtent l="0" t="0" r="19050" b="20955"/>
                  <wp:wrapNone/>
                  <wp:docPr id="1" name="Straight Connector 1"/>
                  <wp:cNvGraphicFramePr/>
                  <a:graphic xmlns:a="http://schemas.openxmlformats.org/drawingml/2006/main">
                    <a:graphicData uri="http://schemas.microsoft.com/office/word/2010/wordprocessingShape">
                      <wps:wsp>
                        <wps:cNvCnPr/>
                        <wps:spPr>
                          <a:xfrm flipH="1">
                            <a:off x="0" y="0"/>
                            <a:ext cx="0" cy="245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94149"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9.65pt" to="1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" strokecolor="black [3200]" strokeweight=".5pt">
                  <v:stroke joinstyle="miter"/>
                </v:line>
              </w:pict>
            </mc:Fallback>
          </mc:AlternateContent>
        </w:r>
        <w:r w:rsidRPr="00822873">
          <w:rPr>
            <w:rFonts w:ascii="Cambria" w:hAnsi="Cambria"/>
            <w:sz w:val="20"/>
            <w:szCs w:val="20"/>
          </w:rPr>
          <w:fldChar w:fldCharType="begin"/>
        </w:r>
        <w:r w:rsidRPr="00822873">
          <w:rPr>
            <w:rFonts w:ascii="Cambria" w:hAnsi="Cambria"/>
            <w:sz w:val="20"/>
            <w:szCs w:val="20"/>
          </w:rPr>
          <w:instrText xml:space="preserve"> PAGE   \* MERGEFORMAT </w:instrText>
        </w:r>
        <w:r w:rsidRPr="00822873">
          <w:rPr>
            <w:rFonts w:ascii="Cambria" w:hAnsi="Cambria"/>
            <w:sz w:val="20"/>
            <w:szCs w:val="20"/>
          </w:rPr>
          <w:fldChar w:fldCharType="separate"/>
        </w:r>
        <w:r w:rsidR="00CF2739">
          <w:rPr>
            <w:rFonts w:ascii="Cambria" w:hAnsi="Cambria"/>
            <w:noProof/>
            <w:sz w:val="20"/>
            <w:szCs w:val="20"/>
          </w:rPr>
          <w:t>8</w:t>
        </w:r>
        <w:r w:rsidRPr="00822873">
          <w:rPr>
            <w:rFonts w:ascii="Cambria" w:hAnsi="Cambria"/>
            <w:noProof/>
            <w:sz w:val="20"/>
            <w:szCs w:val="20"/>
          </w:rPr>
          <w:fldChar w:fldCharType="end"/>
        </w:r>
        <w:r>
          <w:rPr>
            <w:rFonts w:ascii="Cambria" w:hAnsi="Cambria"/>
            <w:noProof/>
            <w:sz w:val="20"/>
            <w:szCs w:val="20"/>
            <w:lang w:val="id-ID"/>
          </w:rPr>
          <w:t xml:space="preserve">     </w:t>
        </w:r>
        <w:r w:rsidRPr="00822873">
          <w:rPr>
            <w:rFonts w:ascii="Cambria" w:hAnsi="Cambria"/>
            <w:noProof/>
            <w:sz w:val="20"/>
            <w:szCs w:val="20"/>
            <w:lang w:val="id-ID"/>
          </w:rPr>
          <w:t>Kholid Hidayatullah</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D2C"/>
    <w:multiLevelType w:val="multilevel"/>
    <w:tmpl w:val="040EE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D54F9"/>
    <w:multiLevelType w:val="hybridMultilevel"/>
    <w:tmpl w:val="FD705B1C"/>
    <w:lvl w:ilvl="0" w:tplc="9FC6113C">
      <w:start w:val="1"/>
      <w:numFmt w:val="lowerLetter"/>
      <w:lvlText w:val="%1."/>
      <w:lvlJc w:val="left"/>
      <w:pPr>
        <w:ind w:left="720" w:hanging="360"/>
      </w:pPr>
      <w:rPr>
        <w:rFonts w:ascii="Palatino Linotype" w:hAnsi="Palatino Linotype"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E22E72"/>
    <w:multiLevelType w:val="hybridMultilevel"/>
    <w:tmpl w:val="DDD0FDA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21C673CD"/>
    <w:multiLevelType w:val="hybridMultilevel"/>
    <w:tmpl w:val="14D6A350"/>
    <w:lvl w:ilvl="0" w:tplc="BE4E527A">
      <w:start w:val="1"/>
      <w:numFmt w:val="lowerLetter"/>
      <w:lvlText w:val="%1."/>
      <w:lvlJc w:val="left"/>
      <w:pPr>
        <w:ind w:left="1080" w:hanging="360"/>
      </w:pPr>
      <w:rPr>
        <w:rFonts w:cs="Times New Roman" w:hint="default"/>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3949709A"/>
    <w:multiLevelType w:val="hybridMultilevel"/>
    <w:tmpl w:val="216C952C"/>
    <w:lvl w:ilvl="0" w:tplc="0421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A447D9"/>
    <w:multiLevelType w:val="hybridMultilevel"/>
    <w:tmpl w:val="23442C2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436537FD"/>
    <w:multiLevelType w:val="hybridMultilevel"/>
    <w:tmpl w:val="956E1818"/>
    <w:lvl w:ilvl="0" w:tplc="92787B74">
      <w:start w:val="1"/>
      <w:numFmt w:val="decimal"/>
      <w:lvlText w:val="%1."/>
      <w:lvlJc w:val="left"/>
      <w:pPr>
        <w:ind w:left="720" w:hanging="360"/>
      </w:pPr>
      <w:rPr>
        <w:rFonts w:cs="Times New Roman" w:hint="default"/>
        <w:b w:val="0"/>
        <w:bCs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15:restartNumberingAfterBreak="0">
    <w:nsid w:val="44C87950"/>
    <w:multiLevelType w:val="hybridMultilevel"/>
    <w:tmpl w:val="8B8E54D4"/>
    <w:lvl w:ilvl="0" w:tplc="04210017">
      <w:start w:val="1"/>
      <w:numFmt w:val="lowerLetter"/>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4A061B7B"/>
    <w:multiLevelType w:val="hybridMultilevel"/>
    <w:tmpl w:val="EA960E5C"/>
    <w:lvl w:ilvl="0" w:tplc="36D8681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E74233"/>
    <w:multiLevelType w:val="hybridMultilevel"/>
    <w:tmpl w:val="F424BE78"/>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0" w15:restartNumberingAfterBreak="0">
    <w:nsid w:val="52D6119D"/>
    <w:multiLevelType w:val="hybridMultilevel"/>
    <w:tmpl w:val="9282F5E4"/>
    <w:lvl w:ilvl="0" w:tplc="971455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52E31F33"/>
    <w:multiLevelType w:val="hybridMultilevel"/>
    <w:tmpl w:val="FFFFFFFF"/>
    <w:lvl w:ilvl="0" w:tplc="38090017">
      <w:start w:val="1"/>
      <w:numFmt w:val="lowerLetter"/>
      <w:lvlText w:val="%1)"/>
      <w:lvlJc w:val="left"/>
      <w:pPr>
        <w:ind w:left="1506" w:hanging="360"/>
      </w:pPr>
      <w:rPr>
        <w:rFonts w:cs="Times New Roman"/>
      </w:rPr>
    </w:lvl>
    <w:lvl w:ilvl="1" w:tplc="38090019" w:tentative="1">
      <w:start w:val="1"/>
      <w:numFmt w:val="lowerLetter"/>
      <w:lvlText w:val="%2."/>
      <w:lvlJc w:val="left"/>
      <w:pPr>
        <w:ind w:left="2226" w:hanging="360"/>
      </w:pPr>
      <w:rPr>
        <w:rFonts w:cs="Times New Roman"/>
      </w:rPr>
    </w:lvl>
    <w:lvl w:ilvl="2" w:tplc="3809001B" w:tentative="1">
      <w:start w:val="1"/>
      <w:numFmt w:val="lowerRoman"/>
      <w:lvlText w:val="%3."/>
      <w:lvlJc w:val="right"/>
      <w:pPr>
        <w:ind w:left="2946" w:hanging="180"/>
      </w:pPr>
      <w:rPr>
        <w:rFonts w:cs="Times New Roman"/>
      </w:rPr>
    </w:lvl>
    <w:lvl w:ilvl="3" w:tplc="3809000F" w:tentative="1">
      <w:start w:val="1"/>
      <w:numFmt w:val="decimal"/>
      <w:lvlText w:val="%4."/>
      <w:lvlJc w:val="left"/>
      <w:pPr>
        <w:ind w:left="3666" w:hanging="360"/>
      </w:pPr>
      <w:rPr>
        <w:rFonts w:cs="Times New Roman"/>
      </w:rPr>
    </w:lvl>
    <w:lvl w:ilvl="4" w:tplc="38090019" w:tentative="1">
      <w:start w:val="1"/>
      <w:numFmt w:val="lowerLetter"/>
      <w:lvlText w:val="%5."/>
      <w:lvlJc w:val="left"/>
      <w:pPr>
        <w:ind w:left="4386" w:hanging="360"/>
      </w:pPr>
      <w:rPr>
        <w:rFonts w:cs="Times New Roman"/>
      </w:rPr>
    </w:lvl>
    <w:lvl w:ilvl="5" w:tplc="3809001B" w:tentative="1">
      <w:start w:val="1"/>
      <w:numFmt w:val="lowerRoman"/>
      <w:lvlText w:val="%6."/>
      <w:lvlJc w:val="right"/>
      <w:pPr>
        <w:ind w:left="5106" w:hanging="180"/>
      </w:pPr>
      <w:rPr>
        <w:rFonts w:cs="Times New Roman"/>
      </w:rPr>
    </w:lvl>
    <w:lvl w:ilvl="6" w:tplc="3809000F" w:tentative="1">
      <w:start w:val="1"/>
      <w:numFmt w:val="decimal"/>
      <w:lvlText w:val="%7."/>
      <w:lvlJc w:val="left"/>
      <w:pPr>
        <w:ind w:left="5826" w:hanging="360"/>
      </w:pPr>
      <w:rPr>
        <w:rFonts w:cs="Times New Roman"/>
      </w:rPr>
    </w:lvl>
    <w:lvl w:ilvl="7" w:tplc="38090019" w:tentative="1">
      <w:start w:val="1"/>
      <w:numFmt w:val="lowerLetter"/>
      <w:lvlText w:val="%8."/>
      <w:lvlJc w:val="left"/>
      <w:pPr>
        <w:ind w:left="6546" w:hanging="360"/>
      </w:pPr>
      <w:rPr>
        <w:rFonts w:cs="Times New Roman"/>
      </w:rPr>
    </w:lvl>
    <w:lvl w:ilvl="8" w:tplc="3809001B" w:tentative="1">
      <w:start w:val="1"/>
      <w:numFmt w:val="lowerRoman"/>
      <w:lvlText w:val="%9."/>
      <w:lvlJc w:val="right"/>
      <w:pPr>
        <w:ind w:left="7266" w:hanging="180"/>
      </w:pPr>
      <w:rPr>
        <w:rFonts w:cs="Times New Roman"/>
      </w:rPr>
    </w:lvl>
  </w:abstractNum>
  <w:abstractNum w:abstractNumId="12" w15:restartNumberingAfterBreak="0">
    <w:nsid w:val="55794A4E"/>
    <w:multiLevelType w:val="hybridMultilevel"/>
    <w:tmpl w:val="F54633CE"/>
    <w:lvl w:ilvl="0" w:tplc="136435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354CBF"/>
    <w:multiLevelType w:val="hybridMultilevel"/>
    <w:tmpl w:val="4F70C9BA"/>
    <w:lvl w:ilvl="0" w:tplc="777C45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E12FE5"/>
    <w:multiLevelType w:val="hybridMultilevel"/>
    <w:tmpl w:val="BFBAFC4E"/>
    <w:lvl w:ilvl="0" w:tplc="712293DA">
      <w:start w:val="3"/>
      <w:numFmt w:val="upperLetter"/>
      <w:lvlText w:val="%1."/>
      <w:lvlJc w:val="left"/>
      <w:pPr>
        <w:ind w:left="1145" w:hanging="360"/>
      </w:pPr>
      <w:rPr>
        <w:rFonts w:cs="Times New Roman" w:hint="default"/>
      </w:rPr>
    </w:lvl>
    <w:lvl w:ilvl="1" w:tplc="04090019">
      <w:start w:val="1"/>
      <w:numFmt w:val="lowerLetter"/>
      <w:lvlText w:val="%2."/>
      <w:lvlJc w:val="left"/>
      <w:pPr>
        <w:ind w:left="1865" w:hanging="360"/>
      </w:pPr>
      <w:rPr>
        <w:rFonts w:cs="Times New Roman"/>
      </w:rPr>
    </w:lvl>
    <w:lvl w:ilvl="2" w:tplc="0409001B">
      <w:start w:val="1"/>
      <w:numFmt w:val="lowerRoman"/>
      <w:lvlText w:val="%3."/>
      <w:lvlJc w:val="right"/>
      <w:pPr>
        <w:ind w:left="2585" w:hanging="180"/>
      </w:pPr>
      <w:rPr>
        <w:rFonts w:cs="Times New Roman"/>
      </w:rPr>
    </w:lvl>
    <w:lvl w:ilvl="3" w:tplc="0409000F">
      <w:start w:val="1"/>
      <w:numFmt w:val="decimal"/>
      <w:lvlText w:val="%4."/>
      <w:lvlJc w:val="left"/>
      <w:pPr>
        <w:ind w:left="3305" w:hanging="360"/>
      </w:pPr>
      <w:rPr>
        <w:rFonts w:cs="Times New Roman"/>
      </w:rPr>
    </w:lvl>
    <w:lvl w:ilvl="4" w:tplc="04090019">
      <w:start w:val="1"/>
      <w:numFmt w:val="lowerLetter"/>
      <w:lvlText w:val="%5."/>
      <w:lvlJc w:val="left"/>
      <w:pPr>
        <w:ind w:left="4025" w:hanging="360"/>
      </w:pPr>
      <w:rPr>
        <w:rFonts w:cs="Times New Roman"/>
      </w:rPr>
    </w:lvl>
    <w:lvl w:ilvl="5" w:tplc="0409001B">
      <w:start w:val="1"/>
      <w:numFmt w:val="lowerRoman"/>
      <w:lvlText w:val="%6."/>
      <w:lvlJc w:val="right"/>
      <w:pPr>
        <w:ind w:left="4745" w:hanging="180"/>
      </w:pPr>
      <w:rPr>
        <w:rFonts w:cs="Times New Roman"/>
      </w:rPr>
    </w:lvl>
    <w:lvl w:ilvl="6" w:tplc="0409000F">
      <w:start w:val="1"/>
      <w:numFmt w:val="decimal"/>
      <w:lvlText w:val="%7."/>
      <w:lvlJc w:val="left"/>
      <w:pPr>
        <w:ind w:left="5465" w:hanging="360"/>
      </w:pPr>
      <w:rPr>
        <w:rFonts w:cs="Times New Roman"/>
      </w:rPr>
    </w:lvl>
    <w:lvl w:ilvl="7" w:tplc="04090019">
      <w:start w:val="1"/>
      <w:numFmt w:val="lowerLetter"/>
      <w:lvlText w:val="%8."/>
      <w:lvlJc w:val="left"/>
      <w:pPr>
        <w:ind w:left="6185" w:hanging="360"/>
      </w:pPr>
      <w:rPr>
        <w:rFonts w:cs="Times New Roman"/>
      </w:rPr>
    </w:lvl>
    <w:lvl w:ilvl="8" w:tplc="0409001B">
      <w:start w:val="1"/>
      <w:numFmt w:val="lowerRoman"/>
      <w:lvlText w:val="%9."/>
      <w:lvlJc w:val="right"/>
      <w:pPr>
        <w:ind w:left="6905" w:hanging="180"/>
      </w:pPr>
      <w:rPr>
        <w:rFonts w:cs="Times New Roman"/>
      </w:rPr>
    </w:lvl>
  </w:abstractNum>
  <w:abstractNum w:abstractNumId="15" w15:restartNumberingAfterBreak="0">
    <w:nsid w:val="5BBC7CDA"/>
    <w:multiLevelType w:val="multilevel"/>
    <w:tmpl w:val="0B02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C80C89"/>
    <w:multiLevelType w:val="multilevel"/>
    <w:tmpl w:val="3CDA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861E1"/>
    <w:multiLevelType w:val="multilevel"/>
    <w:tmpl w:val="5F4C6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BF3E35"/>
    <w:multiLevelType w:val="hybridMultilevel"/>
    <w:tmpl w:val="69D69B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DA93981"/>
    <w:multiLevelType w:val="hybridMultilevel"/>
    <w:tmpl w:val="4AD06B6A"/>
    <w:lvl w:ilvl="0" w:tplc="5E1A6388">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AD0FB7"/>
    <w:multiLevelType w:val="hybridMultilevel"/>
    <w:tmpl w:val="4C32A86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6C3B28"/>
    <w:multiLevelType w:val="multilevel"/>
    <w:tmpl w:val="10E0DBDE"/>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997161"/>
    <w:multiLevelType w:val="hybridMultilevel"/>
    <w:tmpl w:val="AB869F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98967612">
    <w:abstractNumId w:val="13"/>
  </w:num>
  <w:num w:numId="2" w16cid:durableId="258680581">
    <w:abstractNumId w:val="20"/>
  </w:num>
  <w:num w:numId="3" w16cid:durableId="1593122407">
    <w:abstractNumId w:val="2"/>
  </w:num>
  <w:num w:numId="4" w16cid:durableId="470708661">
    <w:abstractNumId w:val="22"/>
  </w:num>
  <w:num w:numId="5" w16cid:durableId="639120175">
    <w:abstractNumId w:val="10"/>
  </w:num>
  <w:num w:numId="6" w16cid:durableId="1647010926">
    <w:abstractNumId w:val="7"/>
  </w:num>
  <w:num w:numId="7" w16cid:durableId="616641737">
    <w:abstractNumId w:val="3"/>
  </w:num>
  <w:num w:numId="8" w16cid:durableId="373698601">
    <w:abstractNumId w:val="14"/>
  </w:num>
  <w:num w:numId="9" w16cid:durableId="1025443870">
    <w:abstractNumId w:val="6"/>
  </w:num>
  <w:num w:numId="10" w16cid:durableId="63530146">
    <w:abstractNumId w:val="21"/>
  </w:num>
  <w:num w:numId="11" w16cid:durableId="848065623">
    <w:abstractNumId w:val="0"/>
  </w:num>
  <w:num w:numId="12" w16cid:durableId="1394698116">
    <w:abstractNumId w:val="16"/>
  </w:num>
  <w:num w:numId="13" w16cid:durableId="2093818111">
    <w:abstractNumId w:val="15"/>
  </w:num>
  <w:num w:numId="14" w16cid:durableId="1952979761">
    <w:abstractNumId w:val="8"/>
  </w:num>
  <w:num w:numId="15" w16cid:durableId="1952931392">
    <w:abstractNumId w:val="12"/>
  </w:num>
  <w:num w:numId="16" w16cid:durableId="2063484088">
    <w:abstractNumId w:val="19"/>
  </w:num>
  <w:num w:numId="17" w16cid:durableId="479274874">
    <w:abstractNumId w:val="9"/>
  </w:num>
  <w:num w:numId="18" w16cid:durableId="102771993">
    <w:abstractNumId w:val="5"/>
  </w:num>
  <w:num w:numId="19" w16cid:durableId="640697888">
    <w:abstractNumId w:val="4"/>
  </w:num>
  <w:num w:numId="20" w16cid:durableId="73824613">
    <w:abstractNumId w:val="17"/>
  </w:num>
  <w:num w:numId="21" w16cid:durableId="1152062621">
    <w:abstractNumId w:val="18"/>
  </w:num>
  <w:num w:numId="22" w16cid:durableId="1076977186">
    <w:abstractNumId w:val="1"/>
  </w:num>
  <w:num w:numId="23" w16cid:durableId="882332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wNzU0MTEwsTQ0NbRQ0lEKTi0uzszPAykwqgUAJrtCRCwAAAA="/>
  </w:docVars>
  <w:rsids>
    <w:rsidRoot w:val="00694E8A"/>
    <w:rsid w:val="000739AB"/>
    <w:rsid w:val="00074D16"/>
    <w:rsid w:val="00090F27"/>
    <w:rsid w:val="000912BB"/>
    <w:rsid w:val="00092E70"/>
    <w:rsid w:val="00095240"/>
    <w:rsid w:val="0009749B"/>
    <w:rsid w:val="000C3749"/>
    <w:rsid w:val="000D583F"/>
    <w:rsid w:val="000E03DF"/>
    <w:rsid w:val="00102CDC"/>
    <w:rsid w:val="00105B90"/>
    <w:rsid w:val="0012265E"/>
    <w:rsid w:val="001656F4"/>
    <w:rsid w:val="00173877"/>
    <w:rsid w:val="00186F6D"/>
    <w:rsid w:val="001E0FF3"/>
    <w:rsid w:val="001E23DD"/>
    <w:rsid w:val="001E2963"/>
    <w:rsid w:val="001F1A12"/>
    <w:rsid w:val="001F76C7"/>
    <w:rsid w:val="00210EF4"/>
    <w:rsid w:val="00224C08"/>
    <w:rsid w:val="002268BE"/>
    <w:rsid w:val="00240F24"/>
    <w:rsid w:val="00290F80"/>
    <w:rsid w:val="002A0B18"/>
    <w:rsid w:val="002A5BF6"/>
    <w:rsid w:val="002A6BD4"/>
    <w:rsid w:val="002B50D2"/>
    <w:rsid w:val="002B754F"/>
    <w:rsid w:val="002F79C4"/>
    <w:rsid w:val="00303574"/>
    <w:rsid w:val="003036B7"/>
    <w:rsid w:val="0031465E"/>
    <w:rsid w:val="003218A3"/>
    <w:rsid w:val="003258CE"/>
    <w:rsid w:val="00326959"/>
    <w:rsid w:val="00336812"/>
    <w:rsid w:val="00352B47"/>
    <w:rsid w:val="00385372"/>
    <w:rsid w:val="003A24AF"/>
    <w:rsid w:val="003A4D77"/>
    <w:rsid w:val="003C3D94"/>
    <w:rsid w:val="003D0AC0"/>
    <w:rsid w:val="003E1DC4"/>
    <w:rsid w:val="00405FE5"/>
    <w:rsid w:val="00433367"/>
    <w:rsid w:val="0044757C"/>
    <w:rsid w:val="004642CC"/>
    <w:rsid w:val="00485853"/>
    <w:rsid w:val="004A4C64"/>
    <w:rsid w:val="004E360B"/>
    <w:rsid w:val="004E578B"/>
    <w:rsid w:val="004F334E"/>
    <w:rsid w:val="005037DB"/>
    <w:rsid w:val="00554309"/>
    <w:rsid w:val="005557D5"/>
    <w:rsid w:val="00555FD0"/>
    <w:rsid w:val="00557729"/>
    <w:rsid w:val="0056056D"/>
    <w:rsid w:val="00577038"/>
    <w:rsid w:val="005A15EF"/>
    <w:rsid w:val="005A1DD7"/>
    <w:rsid w:val="005E6F9E"/>
    <w:rsid w:val="005F5D81"/>
    <w:rsid w:val="0060285A"/>
    <w:rsid w:val="00640218"/>
    <w:rsid w:val="0066330D"/>
    <w:rsid w:val="00663B59"/>
    <w:rsid w:val="00673E5F"/>
    <w:rsid w:val="00694E8A"/>
    <w:rsid w:val="006A1E37"/>
    <w:rsid w:val="006A5B77"/>
    <w:rsid w:val="006D6989"/>
    <w:rsid w:val="006E7D02"/>
    <w:rsid w:val="0072451D"/>
    <w:rsid w:val="007254CE"/>
    <w:rsid w:val="007278BF"/>
    <w:rsid w:val="007446B1"/>
    <w:rsid w:val="00747EFC"/>
    <w:rsid w:val="00757D69"/>
    <w:rsid w:val="00762B33"/>
    <w:rsid w:val="00765B2C"/>
    <w:rsid w:val="00772ECA"/>
    <w:rsid w:val="007745DA"/>
    <w:rsid w:val="007768A5"/>
    <w:rsid w:val="007B056F"/>
    <w:rsid w:val="007B689C"/>
    <w:rsid w:val="007B6F46"/>
    <w:rsid w:val="007C6218"/>
    <w:rsid w:val="007D3CB7"/>
    <w:rsid w:val="007E3184"/>
    <w:rsid w:val="007F398A"/>
    <w:rsid w:val="00821ACF"/>
    <w:rsid w:val="00822873"/>
    <w:rsid w:val="008303B6"/>
    <w:rsid w:val="008318A6"/>
    <w:rsid w:val="008B5096"/>
    <w:rsid w:val="008B60E8"/>
    <w:rsid w:val="008C76D8"/>
    <w:rsid w:val="008D1327"/>
    <w:rsid w:val="008D3A3F"/>
    <w:rsid w:val="008F1293"/>
    <w:rsid w:val="00903C5D"/>
    <w:rsid w:val="0090716A"/>
    <w:rsid w:val="00925BA4"/>
    <w:rsid w:val="00931B55"/>
    <w:rsid w:val="00943FC6"/>
    <w:rsid w:val="00953375"/>
    <w:rsid w:val="00953A62"/>
    <w:rsid w:val="00955EA0"/>
    <w:rsid w:val="00956EB5"/>
    <w:rsid w:val="009651BB"/>
    <w:rsid w:val="00971FFD"/>
    <w:rsid w:val="00980358"/>
    <w:rsid w:val="009D6C7B"/>
    <w:rsid w:val="009E2C27"/>
    <w:rsid w:val="009E61BE"/>
    <w:rsid w:val="00A17CD6"/>
    <w:rsid w:val="00A3334F"/>
    <w:rsid w:val="00A34ABB"/>
    <w:rsid w:val="00A93D1D"/>
    <w:rsid w:val="00A9701C"/>
    <w:rsid w:val="00AA2ED7"/>
    <w:rsid w:val="00AB15B4"/>
    <w:rsid w:val="00AD1FA6"/>
    <w:rsid w:val="00AD2BC0"/>
    <w:rsid w:val="00B02FFE"/>
    <w:rsid w:val="00B57E38"/>
    <w:rsid w:val="00B608C2"/>
    <w:rsid w:val="00B6232B"/>
    <w:rsid w:val="00B67159"/>
    <w:rsid w:val="00BD42ED"/>
    <w:rsid w:val="00BE0808"/>
    <w:rsid w:val="00C212C1"/>
    <w:rsid w:val="00C36FE3"/>
    <w:rsid w:val="00C43244"/>
    <w:rsid w:val="00C46EA1"/>
    <w:rsid w:val="00C64F2B"/>
    <w:rsid w:val="00CA5784"/>
    <w:rsid w:val="00CB3BE0"/>
    <w:rsid w:val="00CF2739"/>
    <w:rsid w:val="00CF33A6"/>
    <w:rsid w:val="00D1732E"/>
    <w:rsid w:val="00D50752"/>
    <w:rsid w:val="00D54430"/>
    <w:rsid w:val="00D70507"/>
    <w:rsid w:val="00D8029F"/>
    <w:rsid w:val="00D862D8"/>
    <w:rsid w:val="00DA0AA5"/>
    <w:rsid w:val="00DA33BE"/>
    <w:rsid w:val="00DC7466"/>
    <w:rsid w:val="00E04425"/>
    <w:rsid w:val="00E04A35"/>
    <w:rsid w:val="00E16179"/>
    <w:rsid w:val="00E3679F"/>
    <w:rsid w:val="00E50B72"/>
    <w:rsid w:val="00E60C08"/>
    <w:rsid w:val="00EA112D"/>
    <w:rsid w:val="00EA2409"/>
    <w:rsid w:val="00EB2B51"/>
    <w:rsid w:val="00EB2DD2"/>
    <w:rsid w:val="00EB579B"/>
    <w:rsid w:val="00ED1790"/>
    <w:rsid w:val="00EE26F2"/>
    <w:rsid w:val="00EE2B1D"/>
    <w:rsid w:val="00EF2F62"/>
    <w:rsid w:val="00F01275"/>
    <w:rsid w:val="00F350D7"/>
    <w:rsid w:val="00F42060"/>
    <w:rsid w:val="00F45AA3"/>
    <w:rsid w:val="00F46016"/>
    <w:rsid w:val="00F510CE"/>
    <w:rsid w:val="00F722BD"/>
    <w:rsid w:val="00F80966"/>
    <w:rsid w:val="00FB48B1"/>
    <w:rsid w:val="00FD6A9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3ECB8"/>
  <w15:docId w15:val="{49E756A9-162F-460B-BE0B-E80B2FFE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46"/>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94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E8A"/>
    <w:rPr>
      <w:rFonts w:ascii="Calibri" w:eastAsia="Calibri" w:hAnsi="Calibri" w:cs="Arial"/>
      <w:sz w:val="20"/>
      <w:szCs w:val="20"/>
      <w:lang w:val="en-US"/>
    </w:rPr>
  </w:style>
  <w:style w:type="character" w:styleId="EndnoteReference">
    <w:name w:val="endnote reference"/>
    <w:basedOn w:val="DefaultParagraphFont"/>
    <w:uiPriority w:val="99"/>
    <w:semiHidden/>
    <w:unhideWhenUsed/>
    <w:rsid w:val="00694E8A"/>
    <w:rPr>
      <w:vertAlign w:val="superscript"/>
    </w:rPr>
  </w:style>
  <w:style w:type="character" w:styleId="Emphasis">
    <w:name w:val="Emphasis"/>
    <w:uiPriority w:val="20"/>
    <w:qFormat/>
    <w:rsid w:val="007E3184"/>
    <w:rPr>
      <w:i/>
      <w:iCs/>
    </w:rPr>
  </w:style>
  <w:style w:type="character" w:customStyle="1" w:styleId="apple-converted-space">
    <w:name w:val="apple-converted-space"/>
    <w:rsid w:val="007E3184"/>
  </w:style>
  <w:style w:type="paragraph" w:customStyle="1" w:styleId="JurnalUL-1">
    <w:name w:val="Jurnal UL-1"/>
    <w:basedOn w:val="Normal"/>
    <w:link w:val="JurnalUL-1Char"/>
    <w:qFormat/>
    <w:rsid w:val="007E3184"/>
    <w:pPr>
      <w:autoSpaceDE w:val="0"/>
      <w:autoSpaceDN w:val="0"/>
      <w:adjustRightInd w:val="0"/>
      <w:spacing w:after="0" w:line="240" w:lineRule="auto"/>
      <w:jc w:val="both"/>
    </w:pPr>
    <w:rPr>
      <w:rFonts w:ascii="French Script MT" w:hAnsi="French Script MT" w:cs="Times New Roman"/>
      <w:color w:val="222222"/>
      <w:sz w:val="102"/>
      <w:szCs w:val="102"/>
      <w:shd w:val="clear" w:color="auto" w:fill="FFFFFF"/>
      <w:lang w:val="id-ID"/>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qFormat/>
    <w:rsid w:val="00953A62"/>
    <w:pPr>
      <w:spacing w:after="0" w:line="240" w:lineRule="auto"/>
    </w:pPr>
    <w:rPr>
      <w:sz w:val="20"/>
      <w:szCs w:val="20"/>
    </w:rPr>
  </w:style>
  <w:style w:type="character" w:customStyle="1" w:styleId="JurnalUL-1Char">
    <w:name w:val="Jurnal UL-1 Char"/>
    <w:basedOn w:val="DefaultParagraphFont"/>
    <w:link w:val="JurnalUL-1"/>
    <w:rsid w:val="007E3184"/>
    <w:rPr>
      <w:rFonts w:ascii="French Script MT" w:eastAsia="Calibri" w:hAnsi="French Script MT" w:cs="Times New Roman"/>
      <w:color w:val="222222"/>
      <w:sz w:val="102"/>
      <w:szCs w:val="102"/>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953A62"/>
    <w:rPr>
      <w:rFonts w:ascii="Calibri" w:eastAsia="Calibri" w:hAnsi="Calibri" w:cs="Arial"/>
      <w:sz w:val="20"/>
      <w:szCs w:val="20"/>
      <w:lang w:val="en-US"/>
    </w:rPr>
  </w:style>
  <w:style w:type="character" w:styleId="FootnoteReference">
    <w:name w:val="footnote reference"/>
    <w:uiPriority w:val="99"/>
    <w:rsid w:val="00953A62"/>
    <w:rPr>
      <w:rFonts w:cs="Times New Roman"/>
      <w:vertAlign w:val="superscript"/>
    </w:rPr>
  </w:style>
  <w:style w:type="paragraph" w:styleId="ListParagraph">
    <w:name w:val="List Paragraph"/>
    <w:basedOn w:val="Normal"/>
    <w:uiPriority w:val="34"/>
    <w:qFormat/>
    <w:rsid w:val="00953A62"/>
    <w:pPr>
      <w:ind w:left="720"/>
    </w:pPr>
  </w:style>
  <w:style w:type="paragraph" w:styleId="Subtitle">
    <w:name w:val="Subtitle"/>
    <w:basedOn w:val="Normal"/>
    <w:next w:val="Normal"/>
    <w:link w:val="SubtitleChar"/>
    <w:qFormat/>
    <w:rsid w:val="00F42060"/>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F42060"/>
    <w:rPr>
      <w:rFonts w:ascii="Cambria" w:eastAsia="Times New Roman" w:hAnsi="Cambria" w:cs="Times New Roman"/>
      <w:sz w:val="24"/>
      <w:szCs w:val="24"/>
      <w:lang w:val="en-US"/>
    </w:rPr>
  </w:style>
  <w:style w:type="paragraph" w:styleId="Header">
    <w:name w:val="header"/>
    <w:basedOn w:val="Normal"/>
    <w:link w:val="HeaderChar"/>
    <w:uiPriority w:val="99"/>
    <w:unhideWhenUsed/>
    <w:rsid w:val="00903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5D"/>
    <w:rPr>
      <w:rFonts w:ascii="Calibri" w:eastAsia="Calibri" w:hAnsi="Calibri" w:cs="Arial"/>
      <w:lang w:val="en-US"/>
    </w:rPr>
  </w:style>
  <w:style w:type="paragraph" w:styleId="Footer">
    <w:name w:val="footer"/>
    <w:basedOn w:val="Normal"/>
    <w:link w:val="FooterChar"/>
    <w:uiPriority w:val="99"/>
    <w:unhideWhenUsed/>
    <w:rsid w:val="00903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5D"/>
    <w:rPr>
      <w:rFonts w:ascii="Calibri" w:eastAsia="Calibri" w:hAnsi="Calibri" w:cs="Arial"/>
      <w:lang w:val="en-US"/>
    </w:rPr>
  </w:style>
  <w:style w:type="paragraph" w:styleId="NormalWeb">
    <w:name w:val="Normal (Web)"/>
    <w:basedOn w:val="Normal"/>
    <w:rsid w:val="00224C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6C7B"/>
    <w:rPr>
      <w:color w:val="0563C1" w:themeColor="hyperlink"/>
      <w:u w:val="single"/>
    </w:rPr>
  </w:style>
  <w:style w:type="paragraph" w:styleId="BalloonText">
    <w:name w:val="Balloon Text"/>
    <w:basedOn w:val="Normal"/>
    <w:link w:val="BalloonTextChar"/>
    <w:uiPriority w:val="99"/>
    <w:semiHidden/>
    <w:unhideWhenUsed/>
    <w:rsid w:val="00A33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4F"/>
    <w:rPr>
      <w:rFonts w:ascii="Segoe UI" w:eastAsia="Calibri" w:hAnsi="Segoe UI" w:cs="Segoe UI"/>
      <w:sz w:val="18"/>
      <w:szCs w:val="18"/>
      <w:lang w:val="en-US"/>
    </w:rPr>
  </w:style>
  <w:style w:type="paragraph" w:customStyle="1" w:styleId="StyleE-JOURNALAbstrakKeywordsBold">
    <w:name w:val="Style E-JOURNAL_AbstrakKeywords + Bold"/>
    <w:basedOn w:val="Normal"/>
    <w:rsid w:val="00AD2BC0"/>
    <w:pPr>
      <w:spacing w:before="120" w:after="120" w:line="240" w:lineRule="auto"/>
      <w:jc w:val="both"/>
    </w:pPr>
    <w:rPr>
      <w:rFonts w:ascii="Times New Roman" w:eastAsia="Times New Roman" w:hAnsi="Times New Roman" w:cs="Times New Roman"/>
      <w:b/>
      <w:bCs/>
      <w:i/>
      <w:iCs/>
      <w:lang w:val="id-ID"/>
    </w:rPr>
  </w:style>
  <w:style w:type="paragraph" w:customStyle="1" w:styleId="E-JOURNALAbstrakKeywords">
    <w:name w:val="E-JOURNAL_AbstrakKeywords"/>
    <w:basedOn w:val="Normal"/>
    <w:qFormat/>
    <w:rsid w:val="00AD2BC0"/>
    <w:pPr>
      <w:spacing w:before="60" w:after="0" w:line="240" w:lineRule="auto"/>
      <w:jc w:val="both"/>
    </w:pPr>
    <w:rPr>
      <w:rFonts w:ascii="Times New Roman" w:eastAsia="Times New Roman" w:hAnsi="Times New Roman" w:cs="Times New Roman"/>
      <w:i/>
      <w:lang w:val="id-ID"/>
    </w:rPr>
  </w:style>
  <w:style w:type="paragraph" w:customStyle="1" w:styleId="E-JOURNALBody">
    <w:name w:val="E-JOURNAL_Body"/>
    <w:basedOn w:val="Normal"/>
    <w:qFormat/>
    <w:rsid w:val="00173877"/>
    <w:pPr>
      <w:spacing w:after="0" w:line="240" w:lineRule="auto"/>
      <w:ind w:firstLine="567"/>
      <w:jc w:val="both"/>
    </w:pPr>
    <w:rPr>
      <w:rFonts w:ascii="Times New Roman" w:eastAsia="Times New Roman" w:hAnsi="Times New Roman" w:cs="Times New Roman"/>
      <w:szCs w:val="24"/>
      <w:lang w:val="id-ID"/>
    </w:rPr>
  </w:style>
  <w:style w:type="paragraph" w:customStyle="1" w:styleId="E-JOURNALHeading2">
    <w:name w:val="E-JOURNAL_Heading 2"/>
    <w:basedOn w:val="Normal"/>
    <w:qFormat/>
    <w:rsid w:val="00173877"/>
    <w:pPr>
      <w:spacing w:before="120" w:after="120" w:line="240" w:lineRule="auto"/>
    </w:pPr>
    <w:rPr>
      <w:rFonts w:ascii="Times New Roman" w:eastAsia="Times New Roman" w:hAnsi="Times New Roman" w:cs="Times New Roman"/>
      <w:b/>
    </w:rPr>
  </w:style>
  <w:style w:type="paragraph" w:customStyle="1" w:styleId="E-JOURNALHeading1">
    <w:name w:val="E-JOURNAL_Heading 1"/>
    <w:basedOn w:val="Normal"/>
    <w:qFormat/>
    <w:rsid w:val="00105B90"/>
    <w:pPr>
      <w:spacing w:before="120" w:after="120" w:line="240" w:lineRule="auto"/>
    </w:pPr>
    <w:rPr>
      <w:rFonts w:ascii="Times New Roman" w:eastAsia="Times New Roman" w:hAnsi="Times New Roman" w:cs="Times New Roman"/>
      <w:b/>
    </w:rPr>
  </w:style>
  <w:style w:type="paragraph" w:customStyle="1" w:styleId="E-JOURNALTableCaption">
    <w:name w:val="E-JOURNAL_TableCaption"/>
    <w:basedOn w:val="Normal"/>
    <w:autoRedefine/>
    <w:qFormat/>
    <w:rsid w:val="00105B90"/>
    <w:pPr>
      <w:spacing w:before="120" w:after="120" w:line="240" w:lineRule="atLeast"/>
      <w:jc w:val="center"/>
    </w:pPr>
    <w:rPr>
      <w:rFonts w:ascii="Times New Roman" w:eastAsia="Times New Roman" w:hAnsi="Times New Roman" w:cs="Times New Roman"/>
      <w:szCs w:val="24"/>
      <w:lang w:val="id-ID"/>
    </w:rPr>
  </w:style>
  <w:style w:type="paragraph" w:customStyle="1" w:styleId="E-JOURNALTable">
    <w:name w:val="E-JOURNAL_Table"/>
    <w:basedOn w:val="Normal"/>
    <w:qFormat/>
    <w:rsid w:val="00105B90"/>
    <w:pPr>
      <w:spacing w:after="0" w:line="240" w:lineRule="atLeast"/>
      <w:jc w:val="center"/>
    </w:pPr>
    <w:rPr>
      <w:rFonts w:ascii="Times New Roman" w:eastAsia="Times New Roman" w:hAnsi="Times New Roman" w:cs="Times New Roman"/>
      <w:szCs w:val="24"/>
      <w:lang w:val="id-ID"/>
    </w:rPr>
  </w:style>
  <w:style w:type="paragraph" w:customStyle="1" w:styleId="E-JOURNALPictureCapture">
    <w:name w:val="E-JOURNAL_Picture Capture"/>
    <w:basedOn w:val="Normal"/>
    <w:autoRedefine/>
    <w:qFormat/>
    <w:rsid w:val="00105B90"/>
    <w:pPr>
      <w:spacing w:before="120" w:after="120" w:line="240" w:lineRule="atLeast"/>
      <w:jc w:val="center"/>
    </w:pPr>
    <w:rPr>
      <w:rFonts w:ascii="Times New Roman" w:eastAsia="Times New Roman" w:hAnsi="Times New Roman" w:cs="Times New Roman"/>
      <w:color w:val="000000"/>
      <w:szCs w:val="24"/>
      <w:lang w:val="id-ID"/>
    </w:rPr>
  </w:style>
  <w:style w:type="paragraph" w:customStyle="1" w:styleId="E-JOURNALPicture">
    <w:name w:val="E-JOURNAL_Picture"/>
    <w:basedOn w:val="E-JOURNALTable"/>
    <w:qFormat/>
    <w:rsid w:val="00105B90"/>
    <w:rPr>
      <w:szCs w:val="22"/>
    </w:rPr>
  </w:style>
  <w:style w:type="character" w:styleId="UnresolvedMention">
    <w:name w:val="Unresolved Mention"/>
    <w:basedOn w:val="DefaultParagraphFont"/>
    <w:uiPriority w:val="99"/>
    <w:semiHidden/>
    <w:unhideWhenUsed/>
    <w:rsid w:val="008D3A3F"/>
    <w:rPr>
      <w:color w:val="605E5C"/>
      <w:shd w:val="clear" w:color="auto" w:fill="E1DFDD"/>
    </w:rPr>
  </w:style>
  <w:style w:type="table" w:styleId="TableGrid">
    <w:name w:val="Table Grid"/>
    <w:basedOn w:val="TableNormal"/>
    <w:uiPriority w:val="39"/>
    <w:rsid w:val="008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aniaIsiParagraf">
    <w:name w:val="Madania_Isi Paragraf"/>
    <w:basedOn w:val="Normal"/>
    <w:link w:val="MadaniaIsiParagrafChar"/>
    <w:qFormat/>
    <w:rsid w:val="00B6232B"/>
    <w:pPr>
      <w:spacing w:after="160" w:line="259" w:lineRule="auto"/>
      <w:ind w:firstLine="426"/>
      <w:jc w:val="both"/>
    </w:pPr>
    <w:rPr>
      <w:rFonts w:ascii="Candara" w:eastAsiaTheme="minorHAnsi" w:hAnsi="Candara" w:cstheme="minorBidi"/>
      <w:lang w:val="id-ID"/>
    </w:rPr>
  </w:style>
  <w:style w:type="character" w:customStyle="1" w:styleId="MadaniaIsiParagrafChar">
    <w:name w:val="Madania_Isi Paragraf Char"/>
    <w:basedOn w:val="DefaultParagraphFont"/>
    <w:link w:val="MadaniaIsiParagraf"/>
    <w:rsid w:val="00B6232B"/>
    <w:rPr>
      <w:rFonts w:ascii="Candara" w:hAnsi="Candara"/>
    </w:rPr>
  </w:style>
  <w:style w:type="character" w:styleId="Strong">
    <w:name w:val="Strong"/>
    <w:basedOn w:val="DefaultParagraphFont"/>
    <w:uiPriority w:val="22"/>
    <w:qFormat/>
    <w:rsid w:val="00B6232B"/>
    <w:rPr>
      <w:b/>
      <w:bCs/>
    </w:rPr>
  </w:style>
  <w:style w:type="paragraph" w:customStyle="1" w:styleId="MadaniaHeading1">
    <w:name w:val="Madania_Heading 1"/>
    <w:basedOn w:val="Normal"/>
    <w:link w:val="MadaniaHeading1Char"/>
    <w:qFormat/>
    <w:rsid w:val="00B6232B"/>
    <w:pPr>
      <w:spacing w:after="160" w:line="259" w:lineRule="auto"/>
    </w:pPr>
    <w:rPr>
      <w:rFonts w:ascii="Trebuchet MS" w:eastAsiaTheme="minorHAnsi" w:hAnsi="Trebuchet MS" w:cstheme="minorBidi"/>
      <w:b/>
      <w:bCs/>
      <w:sz w:val="24"/>
      <w:szCs w:val="24"/>
      <w:lang w:val="id-ID"/>
    </w:rPr>
  </w:style>
  <w:style w:type="character" w:customStyle="1" w:styleId="MadaniaHeading1Char">
    <w:name w:val="Madania_Heading 1 Char"/>
    <w:basedOn w:val="DefaultParagraphFont"/>
    <w:link w:val="MadaniaHeading1"/>
    <w:rsid w:val="00B6232B"/>
    <w:rPr>
      <w:rFonts w:ascii="Trebuchet MS" w:hAnsi="Trebuchet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55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dinsolihin21@gmail.com" TargetMode="External"/><Relationship Id="rId13" Type="http://schemas.openxmlformats.org/officeDocument/2006/relationships/diagramQuickStyle" Target="diagrams/quickStyle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putusan.mahkamahagung.go.id/pengadilan/mahkamah-agung/direktori/perdata-agama/ekonomi-syariah"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mailto:bubunbunyamin@staipelitanusa.ac.id"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etiadi@staipelitanusa.ac.id" TargetMode="External"/><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53C65D-DC0C-4189-B9B9-9B4AABAC555B}"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ID"/>
        </a:p>
      </dgm:t>
    </dgm:pt>
    <dgm:pt modelId="{3346D89D-EF64-4856-8515-33C0EA29F374}">
      <dgm:prSet phldrT="[Text]"/>
      <dgm:spPr/>
      <dgm:t>
        <a:bodyPr/>
        <a:lstStyle/>
        <a:p>
          <a:r>
            <a:rPr lang="en-ID">
              <a:latin typeface="Palatino Linotype" panose="02040502050505030304" pitchFamily="18" charset="0"/>
            </a:rPr>
            <a:t>Dispute Resolution </a:t>
          </a:r>
        </a:p>
      </dgm:t>
    </dgm:pt>
    <dgm:pt modelId="{5AF19A8A-5C6F-4E95-8110-3D0A52BE9AF0}" type="parTrans" cxnId="{6CA07F6F-2200-4928-A959-5B1C2E3DAE90}">
      <dgm:prSet/>
      <dgm:spPr/>
      <dgm:t>
        <a:bodyPr/>
        <a:lstStyle/>
        <a:p>
          <a:endParaRPr lang="en-ID">
            <a:latin typeface="Palatino Linotype" panose="02040502050505030304" pitchFamily="18" charset="0"/>
          </a:endParaRPr>
        </a:p>
      </dgm:t>
    </dgm:pt>
    <dgm:pt modelId="{72C610B4-48F1-4596-BDE6-DC12AFBC8AE6}" type="sibTrans" cxnId="{6CA07F6F-2200-4928-A959-5B1C2E3DAE90}">
      <dgm:prSet/>
      <dgm:spPr/>
      <dgm:t>
        <a:bodyPr/>
        <a:lstStyle/>
        <a:p>
          <a:endParaRPr lang="en-ID">
            <a:latin typeface="Palatino Linotype" panose="02040502050505030304" pitchFamily="18" charset="0"/>
          </a:endParaRPr>
        </a:p>
      </dgm:t>
    </dgm:pt>
    <dgm:pt modelId="{965B0EB1-81B0-4F99-A5EC-4C1DCCA7C4DC}">
      <dgm:prSet phldrT="[Text]"/>
      <dgm:spPr/>
      <dgm:t>
        <a:bodyPr/>
        <a:lstStyle/>
        <a:p>
          <a:r>
            <a:rPr lang="en-ID">
              <a:latin typeface="Palatino Linotype" panose="02040502050505030304" pitchFamily="18" charset="0"/>
            </a:rPr>
            <a:t>Indonesian Law</a:t>
          </a:r>
        </a:p>
      </dgm:t>
    </dgm:pt>
    <dgm:pt modelId="{81C2BAD6-FCAA-40FE-8520-213B324C2C07}" type="parTrans" cxnId="{BA2F7610-2A72-4656-B269-EBBFE3221B06}">
      <dgm:prSet/>
      <dgm:spPr/>
      <dgm:t>
        <a:bodyPr/>
        <a:lstStyle/>
        <a:p>
          <a:endParaRPr lang="en-ID">
            <a:latin typeface="Palatino Linotype" panose="02040502050505030304" pitchFamily="18" charset="0"/>
          </a:endParaRPr>
        </a:p>
      </dgm:t>
    </dgm:pt>
    <dgm:pt modelId="{3CE3E218-79F1-45C3-8CDE-9D27A7F8BC91}" type="sibTrans" cxnId="{BA2F7610-2A72-4656-B269-EBBFE3221B06}">
      <dgm:prSet/>
      <dgm:spPr/>
      <dgm:t>
        <a:bodyPr/>
        <a:lstStyle/>
        <a:p>
          <a:endParaRPr lang="en-ID">
            <a:latin typeface="Palatino Linotype" panose="02040502050505030304" pitchFamily="18" charset="0"/>
          </a:endParaRPr>
        </a:p>
      </dgm:t>
    </dgm:pt>
    <dgm:pt modelId="{3AACE83D-CB44-4559-93CA-24CD77BC230B}">
      <dgm:prSet phldrT="[Text]"/>
      <dgm:spPr/>
      <dgm:t>
        <a:bodyPr/>
        <a:lstStyle/>
        <a:p>
          <a:r>
            <a:rPr lang="en-ID">
              <a:latin typeface="Palatino Linotype" panose="02040502050505030304" pitchFamily="18" charset="0"/>
            </a:rPr>
            <a:t>Non-Litigation</a:t>
          </a:r>
        </a:p>
      </dgm:t>
    </dgm:pt>
    <dgm:pt modelId="{9317F141-8B0E-41D8-B9B3-85D367C729AE}" type="parTrans" cxnId="{44D7CBED-6F04-4D8F-990C-32B6048D78D5}">
      <dgm:prSet/>
      <dgm:spPr/>
      <dgm:t>
        <a:bodyPr/>
        <a:lstStyle/>
        <a:p>
          <a:endParaRPr lang="en-ID">
            <a:latin typeface="Palatino Linotype" panose="02040502050505030304" pitchFamily="18" charset="0"/>
          </a:endParaRPr>
        </a:p>
      </dgm:t>
    </dgm:pt>
    <dgm:pt modelId="{E3BAC29F-7129-4000-9CA4-9AAE71E296E0}" type="sibTrans" cxnId="{44D7CBED-6F04-4D8F-990C-32B6048D78D5}">
      <dgm:prSet/>
      <dgm:spPr/>
      <dgm:t>
        <a:bodyPr/>
        <a:lstStyle/>
        <a:p>
          <a:endParaRPr lang="en-ID">
            <a:latin typeface="Palatino Linotype" panose="02040502050505030304" pitchFamily="18" charset="0"/>
          </a:endParaRPr>
        </a:p>
      </dgm:t>
    </dgm:pt>
    <dgm:pt modelId="{DBFDFB1C-B2A2-421C-B744-5873AECB0DA3}">
      <dgm:prSet phldrT="[Text]"/>
      <dgm:spPr/>
      <dgm:t>
        <a:bodyPr/>
        <a:lstStyle/>
        <a:p>
          <a:r>
            <a:rPr lang="en-ID">
              <a:latin typeface="Palatino Linotype" panose="02040502050505030304" pitchFamily="18" charset="0"/>
            </a:rPr>
            <a:t>Litigation</a:t>
          </a:r>
        </a:p>
      </dgm:t>
    </dgm:pt>
    <dgm:pt modelId="{F0CC7280-EBB1-457F-93B9-04D8D1E184AF}" type="parTrans" cxnId="{DEF5FA07-3149-4E7A-859B-AEE263A4C18A}">
      <dgm:prSet/>
      <dgm:spPr/>
      <dgm:t>
        <a:bodyPr/>
        <a:lstStyle/>
        <a:p>
          <a:endParaRPr lang="en-ID">
            <a:latin typeface="Palatino Linotype" panose="02040502050505030304" pitchFamily="18" charset="0"/>
          </a:endParaRPr>
        </a:p>
      </dgm:t>
    </dgm:pt>
    <dgm:pt modelId="{EF272311-603C-4A8D-A285-FCD74BFF3CD6}" type="sibTrans" cxnId="{DEF5FA07-3149-4E7A-859B-AEE263A4C18A}">
      <dgm:prSet/>
      <dgm:spPr/>
      <dgm:t>
        <a:bodyPr/>
        <a:lstStyle/>
        <a:p>
          <a:endParaRPr lang="en-ID">
            <a:latin typeface="Palatino Linotype" panose="02040502050505030304" pitchFamily="18" charset="0"/>
          </a:endParaRPr>
        </a:p>
      </dgm:t>
    </dgm:pt>
    <dgm:pt modelId="{C586EC9A-B700-498A-959E-4115E3BAA0F5}">
      <dgm:prSet phldrT="[Text]"/>
      <dgm:spPr/>
      <dgm:t>
        <a:bodyPr/>
        <a:lstStyle/>
        <a:p>
          <a:r>
            <a:rPr lang="en-ID">
              <a:latin typeface="Palatino Linotype" panose="02040502050505030304" pitchFamily="18" charset="0"/>
            </a:rPr>
            <a:t>Islamic Law</a:t>
          </a:r>
        </a:p>
      </dgm:t>
    </dgm:pt>
    <dgm:pt modelId="{0A5BAE7A-3862-499A-8851-2980064A77E8}" type="parTrans" cxnId="{FE7E90C3-1B4C-4405-8BEE-CFF0A706C0F6}">
      <dgm:prSet/>
      <dgm:spPr/>
      <dgm:t>
        <a:bodyPr/>
        <a:lstStyle/>
        <a:p>
          <a:endParaRPr lang="en-ID">
            <a:latin typeface="Palatino Linotype" panose="02040502050505030304" pitchFamily="18" charset="0"/>
          </a:endParaRPr>
        </a:p>
      </dgm:t>
    </dgm:pt>
    <dgm:pt modelId="{D2477747-D854-4D35-931B-42CF4CD3E976}" type="sibTrans" cxnId="{FE7E90C3-1B4C-4405-8BEE-CFF0A706C0F6}">
      <dgm:prSet/>
      <dgm:spPr/>
      <dgm:t>
        <a:bodyPr/>
        <a:lstStyle/>
        <a:p>
          <a:endParaRPr lang="en-ID">
            <a:latin typeface="Palatino Linotype" panose="02040502050505030304" pitchFamily="18" charset="0"/>
          </a:endParaRPr>
        </a:p>
      </dgm:t>
    </dgm:pt>
    <dgm:pt modelId="{659F9435-305F-4F7C-B6E7-A6B7F1BD1D7A}">
      <dgm:prSet phldrT="[Text]"/>
      <dgm:spPr/>
      <dgm:t>
        <a:bodyPr/>
        <a:lstStyle/>
        <a:p>
          <a:r>
            <a:rPr lang="en-ID" i="1">
              <a:latin typeface="Palatino Linotype" panose="02040502050505030304" pitchFamily="18" charset="0"/>
            </a:rPr>
            <a:t>Sulh (Ishlah)</a:t>
          </a:r>
        </a:p>
      </dgm:t>
    </dgm:pt>
    <dgm:pt modelId="{BB2FAA05-8AC0-438D-AAB5-F46C50655C75}" type="parTrans" cxnId="{A1D756E9-3FEC-4104-A6AC-25CD4C4D3CB0}">
      <dgm:prSet/>
      <dgm:spPr/>
      <dgm:t>
        <a:bodyPr/>
        <a:lstStyle/>
        <a:p>
          <a:endParaRPr lang="en-ID">
            <a:latin typeface="Palatino Linotype" panose="02040502050505030304" pitchFamily="18" charset="0"/>
          </a:endParaRPr>
        </a:p>
      </dgm:t>
    </dgm:pt>
    <dgm:pt modelId="{811B3E7B-C939-41E9-9805-E6F72516400B}" type="sibTrans" cxnId="{A1D756E9-3FEC-4104-A6AC-25CD4C4D3CB0}">
      <dgm:prSet/>
      <dgm:spPr/>
      <dgm:t>
        <a:bodyPr/>
        <a:lstStyle/>
        <a:p>
          <a:endParaRPr lang="en-ID">
            <a:latin typeface="Palatino Linotype" panose="02040502050505030304" pitchFamily="18" charset="0"/>
          </a:endParaRPr>
        </a:p>
      </dgm:t>
    </dgm:pt>
    <dgm:pt modelId="{7F0F5D30-742C-4AF8-A179-C9560800CDDD}">
      <dgm:prSet/>
      <dgm:spPr/>
      <dgm:t>
        <a:bodyPr/>
        <a:lstStyle/>
        <a:p>
          <a:r>
            <a:rPr lang="en-ID">
              <a:latin typeface="Palatino Linotype" panose="02040502050505030304" pitchFamily="18" charset="0"/>
            </a:rPr>
            <a:t>Tahkim (Arbitrage)</a:t>
          </a:r>
        </a:p>
      </dgm:t>
    </dgm:pt>
    <dgm:pt modelId="{4BBEF6EB-B789-4DE5-AEC9-FA12B685DF3F}" type="parTrans" cxnId="{DB5324C0-6A9D-4872-80A1-EF2D6C1F9E98}">
      <dgm:prSet/>
      <dgm:spPr/>
      <dgm:t>
        <a:bodyPr/>
        <a:lstStyle/>
        <a:p>
          <a:endParaRPr lang="en-ID">
            <a:latin typeface="Palatino Linotype" panose="02040502050505030304" pitchFamily="18" charset="0"/>
          </a:endParaRPr>
        </a:p>
      </dgm:t>
    </dgm:pt>
    <dgm:pt modelId="{D79016FB-56E4-4008-9523-8E0E601F17C6}" type="sibTrans" cxnId="{DB5324C0-6A9D-4872-80A1-EF2D6C1F9E98}">
      <dgm:prSet/>
      <dgm:spPr/>
      <dgm:t>
        <a:bodyPr/>
        <a:lstStyle/>
        <a:p>
          <a:endParaRPr lang="en-ID">
            <a:latin typeface="Palatino Linotype" panose="02040502050505030304" pitchFamily="18" charset="0"/>
          </a:endParaRPr>
        </a:p>
      </dgm:t>
    </dgm:pt>
    <dgm:pt modelId="{1598603A-E9F1-43EA-B832-7B3260CA2AEA}">
      <dgm:prSet/>
      <dgm:spPr/>
      <dgm:t>
        <a:bodyPr/>
        <a:lstStyle/>
        <a:p>
          <a:r>
            <a:rPr lang="en-ID">
              <a:latin typeface="Palatino Linotype" panose="02040502050505030304" pitchFamily="18" charset="0"/>
            </a:rPr>
            <a:t> Wilayat al-Qadha' (Court)</a:t>
          </a:r>
        </a:p>
      </dgm:t>
    </dgm:pt>
    <dgm:pt modelId="{5356E8D1-D866-46E6-B281-F5C4B3009B87}" type="parTrans" cxnId="{F26ADBB6-FF48-4DFF-9828-E3ECCDCBC301}">
      <dgm:prSet/>
      <dgm:spPr/>
      <dgm:t>
        <a:bodyPr/>
        <a:lstStyle/>
        <a:p>
          <a:endParaRPr lang="en-ID">
            <a:latin typeface="Palatino Linotype" panose="02040502050505030304" pitchFamily="18" charset="0"/>
          </a:endParaRPr>
        </a:p>
      </dgm:t>
    </dgm:pt>
    <dgm:pt modelId="{7EA75366-2355-4CDD-BDE3-B8C80814111C}" type="sibTrans" cxnId="{F26ADBB6-FF48-4DFF-9828-E3ECCDCBC301}">
      <dgm:prSet/>
      <dgm:spPr/>
      <dgm:t>
        <a:bodyPr/>
        <a:lstStyle/>
        <a:p>
          <a:endParaRPr lang="en-ID">
            <a:latin typeface="Palatino Linotype" panose="02040502050505030304" pitchFamily="18" charset="0"/>
          </a:endParaRPr>
        </a:p>
      </dgm:t>
    </dgm:pt>
    <dgm:pt modelId="{6D03C73E-0BD6-4FBE-A6C4-5613C5A50F0B}">
      <dgm:prSet/>
      <dgm:spPr/>
      <dgm:t>
        <a:bodyPr/>
        <a:lstStyle/>
        <a:p>
          <a:r>
            <a:rPr lang="en-ID">
              <a:latin typeface="Palatino Linotype" panose="02040502050505030304" pitchFamily="18" charset="0"/>
            </a:rPr>
            <a:t>Arbitrage</a:t>
          </a:r>
        </a:p>
      </dgm:t>
    </dgm:pt>
    <dgm:pt modelId="{627A8E5D-92E1-4E32-ACB8-E179FB16A8AB}" type="parTrans" cxnId="{25C1E969-9537-4988-8D08-569E59F71707}">
      <dgm:prSet/>
      <dgm:spPr/>
      <dgm:t>
        <a:bodyPr/>
        <a:lstStyle/>
        <a:p>
          <a:endParaRPr lang="en-ID">
            <a:latin typeface="Palatino Linotype" panose="02040502050505030304" pitchFamily="18" charset="0"/>
          </a:endParaRPr>
        </a:p>
      </dgm:t>
    </dgm:pt>
    <dgm:pt modelId="{ECD973F4-075B-4C27-9699-25312572686F}" type="sibTrans" cxnId="{25C1E969-9537-4988-8D08-569E59F71707}">
      <dgm:prSet/>
      <dgm:spPr/>
      <dgm:t>
        <a:bodyPr/>
        <a:lstStyle/>
        <a:p>
          <a:endParaRPr lang="en-ID">
            <a:latin typeface="Palatino Linotype" panose="02040502050505030304" pitchFamily="18" charset="0"/>
          </a:endParaRPr>
        </a:p>
      </dgm:t>
    </dgm:pt>
    <dgm:pt modelId="{5DC83E2E-29E0-42F5-9136-C6E1EB752D3B}">
      <dgm:prSet/>
      <dgm:spPr/>
      <dgm:t>
        <a:bodyPr/>
        <a:lstStyle/>
        <a:p>
          <a:r>
            <a:rPr lang="en-ID">
              <a:latin typeface="Palatino Linotype" panose="02040502050505030304" pitchFamily="18" charset="0"/>
            </a:rPr>
            <a:t>Alternative Dispute Resolution (ADR)</a:t>
          </a:r>
        </a:p>
      </dgm:t>
    </dgm:pt>
    <dgm:pt modelId="{F7695FFF-AAE2-4A78-8FBA-60DBAC76AEF7}" type="parTrans" cxnId="{7A6B6EC1-0BF6-42F0-8A96-CB793C06A43D}">
      <dgm:prSet/>
      <dgm:spPr/>
      <dgm:t>
        <a:bodyPr/>
        <a:lstStyle/>
        <a:p>
          <a:endParaRPr lang="en-ID">
            <a:latin typeface="Palatino Linotype" panose="02040502050505030304" pitchFamily="18" charset="0"/>
          </a:endParaRPr>
        </a:p>
      </dgm:t>
    </dgm:pt>
    <dgm:pt modelId="{F7A2D9F7-AD8C-4A83-8176-64DA5691EC29}" type="sibTrans" cxnId="{7A6B6EC1-0BF6-42F0-8A96-CB793C06A43D}">
      <dgm:prSet/>
      <dgm:spPr/>
      <dgm:t>
        <a:bodyPr/>
        <a:lstStyle/>
        <a:p>
          <a:endParaRPr lang="en-ID">
            <a:latin typeface="Palatino Linotype" panose="02040502050505030304" pitchFamily="18" charset="0"/>
          </a:endParaRPr>
        </a:p>
      </dgm:t>
    </dgm:pt>
    <dgm:pt modelId="{1F2CDC61-359C-4C5B-AB05-2B2EB7BBAC62}">
      <dgm:prSet/>
      <dgm:spPr/>
      <dgm:t>
        <a:bodyPr/>
        <a:lstStyle/>
        <a:p>
          <a:r>
            <a:rPr lang="en-ID">
              <a:latin typeface="Palatino Linotype" panose="02040502050505030304" pitchFamily="18" charset="0"/>
            </a:rPr>
            <a:t>BANI</a:t>
          </a:r>
        </a:p>
      </dgm:t>
    </dgm:pt>
    <dgm:pt modelId="{8E895903-6303-4261-BBE9-E02C1A094AE1}" type="parTrans" cxnId="{086DC7F3-0166-446B-8EC5-818F37ECA6F0}">
      <dgm:prSet/>
      <dgm:spPr/>
      <dgm:t>
        <a:bodyPr/>
        <a:lstStyle/>
        <a:p>
          <a:endParaRPr lang="en-ID">
            <a:latin typeface="Palatino Linotype" panose="02040502050505030304" pitchFamily="18" charset="0"/>
          </a:endParaRPr>
        </a:p>
      </dgm:t>
    </dgm:pt>
    <dgm:pt modelId="{5D0AE7D7-BFDD-4A27-B598-8D92F5347CEA}" type="sibTrans" cxnId="{086DC7F3-0166-446B-8EC5-818F37ECA6F0}">
      <dgm:prSet/>
      <dgm:spPr/>
      <dgm:t>
        <a:bodyPr/>
        <a:lstStyle/>
        <a:p>
          <a:endParaRPr lang="en-ID">
            <a:latin typeface="Palatino Linotype" panose="02040502050505030304" pitchFamily="18" charset="0"/>
          </a:endParaRPr>
        </a:p>
      </dgm:t>
    </dgm:pt>
    <dgm:pt modelId="{26D781D5-BCFA-4615-89AB-D3943C8E9512}">
      <dgm:prSet/>
      <dgm:spPr/>
      <dgm:t>
        <a:bodyPr/>
        <a:lstStyle/>
        <a:p>
          <a:r>
            <a:rPr lang="en-ID">
              <a:latin typeface="Palatino Linotype" panose="02040502050505030304" pitchFamily="18" charset="0"/>
            </a:rPr>
            <a:t>BASYARNAS</a:t>
          </a:r>
        </a:p>
      </dgm:t>
    </dgm:pt>
    <dgm:pt modelId="{C1014E67-7D2C-4D00-AD6C-5DF147EE9AA6}" type="parTrans" cxnId="{0CE6A3AC-051C-4BA2-85BB-A74F6FDA26C4}">
      <dgm:prSet/>
      <dgm:spPr/>
      <dgm:t>
        <a:bodyPr/>
        <a:lstStyle/>
        <a:p>
          <a:endParaRPr lang="en-ID">
            <a:latin typeface="Palatino Linotype" panose="02040502050505030304" pitchFamily="18" charset="0"/>
          </a:endParaRPr>
        </a:p>
      </dgm:t>
    </dgm:pt>
    <dgm:pt modelId="{E5000410-03A2-4B3F-B1F2-02DFC56AEB78}" type="sibTrans" cxnId="{0CE6A3AC-051C-4BA2-85BB-A74F6FDA26C4}">
      <dgm:prSet/>
      <dgm:spPr/>
      <dgm:t>
        <a:bodyPr/>
        <a:lstStyle/>
        <a:p>
          <a:endParaRPr lang="en-ID">
            <a:latin typeface="Palatino Linotype" panose="02040502050505030304" pitchFamily="18" charset="0"/>
          </a:endParaRPr>
        </a:p>
      </dgm:t>
    </dgm:pt>
    <dgm:pt modelId="{731F6E43-5314-41A9-B499-0D6A797A559B}">
      <dgm:prSet/>
      <dgm:spPr/>
      <dgm:t>
        <a:bodyPr/>
        <a:lstStyle/>
        <a:p>
          <a:r>
            <a:rPr lang="en-ID">
              <a:latin typeface="Palatino Linotype" panose="02040502050505030304" pitchFamily="18" charset="0"/>
            </a:rPr>
            <a:t>Consultation</a:t>
          </a:r>
        </a:p>
      </dgm:t>
    </dgm:pt>
    <dgm:pt modelId="{C60B81A6-9C90-4371-90B6-73646AA8DF7E}" type="parTrans" cxnId="{648FC66E-2144-47DA-8B4A-D577B2F8609B}">
      <dgm:prSet/>
      <dgm:spPr/>
      <dgm:t>
        <a:bodyPr/>
        <a:lstStyle/>
        <a:p>
          <a:endParaRPr lang="en-ID">
            <a:latin typeface="Palatino Linotype" panose="02040502050505030304" pitchFamily="18" charset="0"/>
          </a:endParaRPr>
        </a:p>
      </dgm:t>
    </dgm:pt>
    <dgm:pt modelId="{663FEB4E-82BF-4C4A-8D6A-B8F4DC3579A1}" type="sibTrans" cxnId="{648FC66E-2144-47DA-8B4A-D577B2F8609B}">
      <dgm:prSet/>
      <dgm:spPr/>
      <dgm:t>
        <a:bodyPr/>
        <a:lstStyle/>
        <a:p>
          <a:endParaRPr lang="en-ID">
            <a:latin typeface="Palatino Linotype" panose="02040502050505030304" pitchFamily="18" charset="0"/>
          </a:endParaRPr>
        </a:p>
      </dgm:t>
    </dgm:pt>
    <dgm:pt modelId="{30BBD56C-BB28-4A6D-A999-F2A10CA495AC}">
      <dgm:prSet/>
      <dgm:spPr/>
      <dgm:t>
        <a:bodyPr/>
        <a:lstStyle/>
        <a:p>
          <a:r>
            <a:rPr lang="en-ID">
              <a:latin typeface="Palatino Linotype" panose="02040502050505030304" pitchFamily="18" charset="0"/>
            </a:rPr>
            <a:t>Negotiation</a:t>
          </a:r>
        </a:p>
      </dgm:t>
    </dgm:pt>
    <dgm:pt modelId="{7E447F1C-E1D6-4865-B468-885DAB11B738}" type="parTrans" cxnId="{51E43D43-9718-42B5-8E2A-C0EED189D41F}">
      <dgm:prSet/>
      <dgm:spPr/>
      <dgm:t>
        <a:bodyPr/>
        <a:lstStyle/>
        <a:p>
          <a:endParaRPr lang="en-ID">
            <a:latin typeface="Palatino Linotype" panose="02040502050505030304" pitchFamily="18" charset="0"/>
          </a:endParaRPr>
        </a:p>
      </dgm:t>
    </dgm:pt>
    <dgm:pt modelId="{E35FE541-7827-43A5-AC60-8D0432115D8C}" type="sibTrans" cxnId="{51E43D43-9718-42B5-8E2A-C0EED189D41F}">
      <dgm:prSet/>
      <dgm:spPr/>
      <dgm:t>
        <a:bodyPr/>
        <a:lstStyle/>
        <a:p>
          <a:endParaRPr lang="en-ID">
            <a:latin typeface="Palatino Linotype" panose="02040502050505030304" pitchFamily="18" charset="0"/>
          </a:endParaRPr>
        </a:p>
      </dgm:t>
    </dgm:pt>
    <dgm:pt modelId="{3B93573F-ED11-4EF6-83E0-8D50A3841E74}">
      <dgm:prSet/>
      <dgm:spPr/>
      <dgm:t>
        <a:bodyPr/>
        <a:lstStyle/>
        <a:p>
          <a:r>
            <a:rPr lang="en-ID">
              <a:latin typeface="Palatino Linotype" panose="02040502050505030304" pitchFamily="18" charset="0"/>
            </a:rPr>
            <a:t>Mediation</a:t>
          </a:r>
        </a:p>
      </dgm:t>
    </dgm:pt>
    <dgm:pt modelId="{604E4E43-98BC-4E84-A1A3-546DEE24FABA}" type="parTrans" cxnId="{6469FE42-9874-47EE-9534-108EBDFDCA3A}">
      <dgm:prSet/>
      <dgm:spPr/>
      <dgm:t>
        <a:bodyPr/>
        <a:lstStyle/>
        <a:p>
          <a:endParaRPr lang="en-ID">
            <a:latin typeface="Palatino Linotype" panose="02040502050505030304" pitchFamily="18" charset="0"/>
          </a:endParaRPr>
        </a:p>
      </dgm:t>
    </dgm:pt>
    <dgm:pt modelId="{2C0C61D3-A834-499D-8A1E-88E063CBDCFE}" type="sibTrans" cxnId="{6469FE42-9874-47EE-9534-108EBDFDCA3A}">
      <dgm:prSet/>
      <dgm:spPr/>
      <dgm:t>
        <a:bodyPr/>
        <a:lstStyle/>
        <a:p>
          <a:endParaRPr lang="en-ID">
            <a:latin typeface="Palatino Linotype" panose="02040502050505030304" pitchFamily="18" charset="0"/>
          </a:endParaRPr>
        </a:p>
      </dgm:t>
    </dgm:pt>
    <dgm:pt modelId="{0163895A-EC06-46CC-930D-58EE9E7C907B}">
      <dgm:prSet/>
      <dgm:spPr/>
      <dgm:t>
        <a:bodyPr/>
        <a:lstStyle/>
        <a:p>
          <a:r>
            <a:rPr lang="en-ID">
              <a:latin typeface="Palatino Linotype" panose="02040502050505030304" pitchFamily="18" charset="0"/>
            </a:rPr>
            <a:t>Conciliation</a:t>
          </a:r>
        </a:p>
      </dgm:t>
    </dgm:pt>
    <dgm:pt modelId="{5206EED5-F895-4DDB-9B9A-F3603C1DEFC3}" type="parTrans" cxnId="{DD89E8E1-FF24-4032-9746-EFA7B8B5F2FE}">
      <dgm:prSet/>
      <dgm:spPr/>
      <dgm:t>
        <a:bodyPr/>
        <a:lstStyle/>
        <a:p>
          <a:endParaRPr lang="en-ID">
            <a:latin typeface="Palatino Linotype" panose="02040502050505030304" pitchFamily="18" charset="0"/>
          </a:endParaRPr>
        </a:p>
      </dgm:t>
    </dgm:pt>
    <dgm:pt modelId="{4F69AC83-5371-4223-B2A4-E12E65ACAE9B}" type="sibTrans" cxnId="{DD89E8E1-FF24-4032-9746-EFA7B8B5F2FE}">
      <dgm:prSet/>
      <dgm:spPr/>
      <dgm:t>
        <a:bodyPr/>
        <a:lstStyle/>
        <a:p>
          <a:endParaRPr lang="en-ID">
            <a:latin typeface="Palatino Linotype" panose="02040502050505030304" pitchFamily="18" charset="0"/>
          </a:endParaRPr>
        </a:p>
      </dgm:t>
    </dgm:pt>
    <dgm:pt modelId="{B3FA9FF2-207D-41CF-8629-ACCC941943D8}">
      <dgm:prSet/>
      <dgm:spPr/>
      <dgm:t>
        <a:bodyPr/>
        <a:lstStyle/>
        <a:p>
          <a:r>
            <a:rPr lang="en-ID">
              <a:latin typeface="Palatino Linotype" panose="02040502050505030304" pitchFamily="18" charset="0"/>
            </a:rPr>
            <a:t>Expert Opinion</a:t>
          </a:r>
        </a:p>
      </dgm:t>
    </dgm:pt>
    <dgm:pt modelId="{4F8CC01D-DDC1-4324-8382-0F73B8E70610}" type="parTrans" cxnId="{F32CA572-A456-4296-933A-81F90791E315}">
      <dgm:prSet/>
      <dgm:spPr/>
      <dgm:t>
        <a:bodyPr/>
        <a:lstStyle/>
        <a:p>
          <a:endParaRPr lang="en-ID">
            <a:latin typeface="Palatino Linotype" panose="02040502050505030304" pitchFamily="18" charset="0"/>
          </a:endParaRPr>
        </a:p>
      </dgm:t>
    </dgm:pt>
    <dgm:pt modelId="{4B2BAB99-E8D9-4F8F-84EC-A87700E20829}" type="sibTrans" cxnId="{F32CA572-A456-4296-933A-81F90791E315}">
      <dgm:prSet/>
      <dgm:spPr/>
      <dgm:t>
        <a:bodyPr/>
        <a:lstStyle/>
        <a:p>
          <a:endParaRPr lang="en-ID">
            <a:latin typeface="Palatino Linotype" panose="02040502050505030304" pitchFamily="18" charset="0"/>
          </a:endParaRPr>
        </a:p>
      </dgm:t>
    </dgm:pt>
    <dgm:pt modelId="{D9B3E4F1-252E-4B2D-B382-A069D89249C0}" type="pres">
      <dgm:prSet presAssocID="{5F53C65D-DC0C-4189-B9B9-9B4AABAC555B}" presName="diagram" presStyleCnt="0">
        <dgm:presLayoutVars>
          <dgm:chPref val="1"/>
          <dgm:dir/>
          <dgm:animOne val="branch"/>
          <dgm:animLvl val="lvl"/>
          <dgm:resizeHandles val="exact"/>
        </dgm:presLayoutVars>
      </dgm:prSet>
      <dgm:spPr/>
    </dgm:pt>
    <dgm:pt modelId="{EF73FF8D-9A07-48E1-BA01-49A8C8B545B7}" type="pres">
      <dgm:prSet presAssocID="{3346D89D-EF64-4856-8515-33C0EA29F374}" presName="root1" presStyleCnt="0"/>
      <dgm:spPr/>
    </dgm:pt>
    <dgm:pt modelId="{6D1B5028-DD57-45EB-B3DC-BF698F36990B}" type="pres">
      <dgm:prSet presAssocID="{3346D89D-EF64-4856-8515-33C0EA29F374}" presName="LevelOneTextNode" presStyleLbl="node0" presStyleIdx="0" presStyleCnt="1">
        <dgm:presLayoutVars>
          <dgm:chPref val="3"/>
        </dgm:presLayoutVars>
      </dgm:prSet>
      <dgm:spPr/>
    </dgm:pt>
    <dgm:pt modelId="{E81C51E5-9211-4AB7-8657-A7DB91785FA1}" type="pres">
      <dgm:prSet presAssocID="{3346D89D-EF64-4856-8515-33C0EA29F374}" presName="level2hierChild" presStyleCnt="0"/>
      <dgm:spPr/>
    </dgm:pt>
    <dgm:pt modelId="{6393710A-3538-4735-BE76-9652413454FD}" type="pres">
      <dgm:prSet presAssocID="{81C2BAD6-FCAA-40FE-8520-213B324C2C07}" presName="conn2-1" presStyleLbl="parChTrans1D2" presStyleIdx="0" presStyleCnt="2"/>
      <dgm:spPr/>
    </dgm:pt>
    <dgm:pt modelId="{7D5868BA-9DB3-4248-AC35-BAF5E5100DF3}" type="pres">
      <dgm:prSet presAssocID="{81C2BAD6-FCAA-40FE-8520-213B324C2C07}" presName="connTx" presStyleLbl="parChTrans1D2" presStyleIdx="0" presStyleCnt="2"/>
      <dgm:spPr/>
    </dgm:pt>
    <dgm:pt modelId="{CDD477AB-32ED-4D52-84AC-F72ED204EB24}" type="pres">
      <dgm:prSet presAssocID="{965B0EB1-81B0-4F99-A5EC-4C1DCCA7C4DC}" presName="root2" presStyleCnt="0"/>
      <dgm:spPr/>
    </dgm:pt>
    <dgm:pt modelId="{2A84C543-9264-4D38-93DC-094C8E3E1E77}" type="pres">
      <dgm:prSet presAssocID="{965B0EB1-81B0-4F99-A5EC-4C1DCCA7C4DC}" presName="LevelTwoTextNode" presStyleLbl="node2" presStyleIdx="0" presStyleCnt="2">
        <dgm:presLayoutVars>
          <dgm:chPref val="3"/>
        </dgm:presLayoutVars>
      </dgm:prSet>
      <dgm:spPr/>
    </dgm:pt>
    <dgm:pt modelId="{DBA124E3-150D-4551-889D-8D93BBA4BE46}" type="pres">
      <dgm:prSet presAssocID="{965B0EB1-81B0-4F99-A5EC-4C1DCCA7C4DC}" presName="level3hierChild" presStyleCnt="0"/>
      <dgm:spPr/>
    </dgm:pt>
    <dgm:pt modelId="{6948337D-53D0-4027-9CA2-37638A772596}" type="pres">
      <dgm:prSet presAssocID="{9317F141-8B0E-41D8-B9B3-85D367C729AE}" presName="conn2-1" presStyleLbl="parChTrans1D3" presStyleIdx="0" presStyleCnt="5"/>
      <dgm:spPr/>
    </dgm:pt>
    <dgm:pt modelId="{5C2984E9-40F9-44F7-86C7-7615A7383676}" type="pres">
      <dgm:prSet presAssocID="{9317F141-8B0E-41D8-B9B3-85D367C729AE}" presName="connTx" presStyleLbl="parChTrans1D3" presStyleIdx="0" presStyleCnt="5"/>
      <dgm:spPr/>
    </dgm:pt>
    <dgm:pt modelId="{AF02B131-D8AD-492C-8842-743E0109090B}" type="pres">
      <dgm:prSet presAssocID="{3AACE83D-CB44-4559-93CA-24CD77BC230B}" presName="root2" presStyleCnt="0"/>
      <dgm:spPr/>
    </dgm:pt>
    <dgm:pt modelId="{70BFE8DE-26E9-4B4F-91AB-F4E276392F40}" type="pres">
      <dgm:prSet presAssocID="{3AACE83D-CB44-4559-93CA-24CD77BC230B}" presName="LevelTwoTextNode" presStyleLbl="node3" presStyleIdx="0" presStyleCnt="5">
        <dgm:presLayoutVars>
          <dgm:chPref val="3"/>
        </dgm:presLayoutVars>
      </dgm:prSet>
      <dgm:spPr/>
    </dgm:pt>
    <dgm:pt modelId="{F00F0259-162D-41D3-994C-157BA6E4DD33}" type="pres">
      <dgm:prSet presAssocID="{3AACE83D-CB44-4559-93CA-24CD77BC230B}" presName="level3hierChild" presStyleCnt="0"/>
      <dgm:spPr/>
    </dgm:pt>
    <dgm:pt modelId="{4A3177D4-A07C-4556-85CC-3DBFA31A126C}" type="pres">
      <dgm:prSet presAssocID="{627A8E5D-92E1-4E32-ACB8-E179FB16A8AB}" presName="conn2-1" presStyleLbl="parChTrans1D4" presStyleIdx="0" presStyleCnt="9"/>
      <dgm:spPr/>
    </dgm:pt>
    <dgm:pt modelId="{9F6329F8-56A0-44EB-B0B5-00D4DAF10C2E}" type="pres">
      <dgm:prSet presAssocID="{627A8E5D-92E1-4E32-ACB8-E179FB16A8AB}" presName="connTx" presStyleLbl="parChTrans1D4" presStyleIdx="0" presStyleCnt="9"/>
      <dgm:spPr/>
    </dgm:pt>
    <dgm:pt modelId="{365D89ED-0754-4C16-B065-579655C66A45}" type="pres">
      <dgm:prSet presAssocID="{6D03C73E-0BD6-4FBE-A6C4-5613C5A50F0B}" presName="root2" presStyleCnt="0"/>
      <dgm:spPr/>
    </dgm:pt>
    <dgm:pt modelId="{4CFE4E59-D826-4142-9ACF-22F265BE0D67}" type="pres">
      <dgm:prSet presAssocID="{6D03C73E-0BD6-4FBE-A6C4-5613C5A50F0B}" presName="LevelTwoTextNode" presStyleLbl="node4" presStyleIdx="0" presStyleCnt="9">
        <dgm:presLayoutVars>
          <dgm:chPref val="3"/>
        </dgm:presLayoutVars>
      </dgm:prSet>
      <dgm:spPr/>
    </dgm:pt>
    <dgm:pt modelId="{8A92C02C-2DC8-4ACD-AF08-BD2035DAF8F0}" type="pres">
      <dgm:prSet presAssocID="{6D03C73E-0BD6-4FBE-A6C4-5613C5A50F0B}" presName="level3hierChild" presStyleCnt="0"/>
      <dgm:spPr/>
    </dgm:pt>
    <dgm:pt modelId="{963ED822-7448-476C-8265-6254FF5795FF}" type="pres">
      <dgm:prSet presAssocID="{8E895903-6303-4261-BBE9-E02C1A094AE1}" presName="conn2-1" presStyleLbl="parChTrans1D4" presStyleIdx="1" presStyleCnt="9"/>
      <dgm:spPr/>
    </dgm:pt>
    <dgm:pt modelId="{5F2E5195-7A83-4DCB-A3C7-7F2F5C0B3F04}" type="pres">
      <dgm:prSet presAssocID="{8E895903-6303-4261-BBE9-E02C1A094AE1}" presName="connTx" presStyleLbl="parChTrans1D4" presStyleIdx="1" presStyleCnt="9"/>
      <dgm:spPr/>
    </dgm:pt>
    <dgm:pt modelId="{F3AE1EBD-07A5-4761-BD79-0948A5C45B4C}" type="pres">
      <dgm:prSet presAssocID="{1F2CDC61-359C-4C5B-AB05-2B2EB7BBAC62}" presName="root2" presStyleCnt="0"/>
      <dgm:spPr/>
    </dgm:pt>
    <dgm:pt modelId="{F827C84D-C902-4043-A584-5B94C7A5E400}" type="pres">
      <dgm:prSet presAssocID="{1F2CDC61-359C-4C5B-AB05-2B2EB7BBAC62}" presName="LevelTwoTextNode" presStyleLbl="node4" presStyleIdx="1" presStyleCnt="9">
        <dgm:presLayoutVars>
          <dgm:chPref val="3"/>
        </dgm:presLayoutVars>
      </dgm:prSet>
      <dgm:spPr/>
    </dgm:pt>
    <dgm:pt modelId="{1B6ABE72-09C4-4292-8BFC-0170A5FDA156}" type="pres">
      <dgm:prSet presAssocID="{1F2CDC61-359C-4C5B-AB05-2B2EB7BBAC62}" presName="level3hierChild" presStyleCnt="0"/>
      <dgm:spPr/>
    </dgm:pt>
    <dgm:pt modelId="{05D8B696-2275-490A-A07C-1B2E4A459329}" type="pres">
      <dgm:prSet presAssocID="{C1014E67-7D2C-4D00-AD6C-5DF147EE9AA6}" presName="conn2-1" presStyleLbl="parChTrans1D4" presStyleIdx="2" presStyleCnt="9"/>
      <dgm:spPr/>
    </dgm:pt>
    <dgm:pt modelId="{3B11EF34-D297-4CBD-BAB5-6FC6BDB99534}" type="pres">
      <dgm:prSet presAssocID="{C1014E67-7D2C-4D00-AD6C-5DF147EE9AA6}" presName="connTx" presStyleLbl="parChTrans1D4" presStyleIdx="2" presStyleCnt="9"/>
      <dgm:spPr/>
    </dgm:pt>
    <dgm:pt modelId="{89FB7AB6-4A97-49E5-86A7-8DD23647E80D}" type="pres">
      <dgm:prSet presAssocID="{26D781D5-BCFA-4615-89AB-D3943C8E9512}" presName="root2" presStyleCnt="0"/>
      <dgm:spPr/>
    </dgm:pt>
    <dgm:pt modelId="{BB46E006-0E18-43B9-987A-9C21921EDD06}" type="pres">
      <dgm:prSet presAssocID="{26D781D5-BCFA-4615-89AB-D3943C8E9512}" presName="LevelTwoTextNode" presStyleLbl="node4" presStyleIdx="2" presStyleCnt="9">
        <dgm:presLayoutVars>
          <dgm:chPref val="3"/>
        </dgm:presLayoutVars>
      </dgm:prSet>
      <dgm:spPr/>
    </dgm:pt>
    <dgm:pt modelId="{BC062D7E-C380-4506-B444-044F777181D2}" type="pres">
      <dgm:prSet presAssocID="{26D781D5-BCFA-4615-89AB-D3943C8E9512}" presName="level3hierChild" presStyleCnt="0"/>
      <dgm:spPr/>
    </dgm:pt>
    <dgm:pt modelId="{D81B599E-14A9-4109-9B16-39AD9E1E54C2}" type="pres">
      <dgm:prSet presAssocID="{F7695FFF-AAE2-4A78-8FBA-60DBAC76AEF7}" presName="conn2-1" presStyleLbl="parChTrans1D4" presStyleIdx="3" presStyleCnt="9"/>
      <dgm:spPr/>
    </dgm:pt>
    <dgm:pt modelId="{62CBE712-4967-4A87-BF0E-A98CECC4AB06}" type="pres">
      <dgm:prSet presAssocID="{F7695FFF-AAE2-4A78-8FBA-60DBAC76AEF7}" presName="connTx" presStyleLbl="parChTrans1D4" presStyleIdx="3" presStyleCnt="9"/>
      <dgm:spPr/>
    </dgm:pt>
    <dgm:pt modelId="{0AD66AF7-056D-454F-BB50-4762C325A99B}" type="pres">
      <dgm:prSet presAssocID="{5DC83E2E-29E0-42F5-9136-C6E1EB752D3B}" presName="root2" presStyleCnt="0"/>
      <dgm:spPr/>
    </dgm:pt>
    <dgm:pt modelId="{8DC202F6-6D8F-459D-8D53-3BF10E2A834E}" type="pres">
      <dgm:prSet presAssocID="{5DC83E2E-29E0-42F5-9136-C6E1EB752D3B}" presName="LevelTwoTextNode" presStyleLbl="node4" presStyleIdx="3" presStyleCnt="9">
        <dgm:presLayoutVars>
          <dgm:chPref val="3"/>
        </dgm:presLayoutVars>
      </dgm:prSet>
      <dgm:spPr/>
    </dgm:pt>
    <dgm:pt modelId="{462F32A5-D326-4012-A688-CA38077B5F45}" type="pres">
      <dgm:prSet presAssocID="{5DC83E2E-29E0-42F5-9136-C6E1EB752D3B}" presName="level3hierChild" presStyleCnt="0"/>
      <dgm:spPr/>
    </dgm:pt>
    <dgm:pt modelId="{3F6C3E3D-82C9-41F6-B77F-AA4ECF3CB349}" type="pres">
      <dgm:prSet presAssocID="{C60B81A6-9C90-4371-90B6-73646AA8DF7E}" presName="conn2-1" presStyleLbl="parChTrans1D4" presStyleIdx="4" presStyleCnt="9"/>
      <dgm:spPr/>
    </dgm:pt>
    <dgm:pt modelId="{46B3C61C-66CE-4D24-A32D-939D3F1B55E2}" type="pres">
      <dgm:prSet presAssocID="{C60B81A6-9C90-4371-90B6-73646AA8DF7E}" presName="connTx" presStyleLbl="parChTrans1D4" presStyleIdx="4" presStyleCnt="9"/>
      <dgm:spPr/>
    </dgm:pt>
    <dgm:pt modelId="{7201E2A3-B9CD-4810-B27B-A3F0B99F406D}" type="pres">
      <dgm:prSet presAssocID="{731F6E43-5314-41A9-B499-0D6A797A559B}" presName="root2" presStyleCnt="0"/>
      <dgm:spPr/>
    </dgm:pt>
    <dgm:pt modelId="{B0F2771C-2A2F-4C4A-A072-228E564D53C3}" type="pres">
      <dgm:prSet presAssocID="{731F6E43-5314-41A9-B499-0D6A797A559B}" presName="LevelTwoTextNode" presStyleLbl="node4" presStyleIdx="4" presStyleCnt="9">
        <dgm:presLayoutVars>
          <dgm:chPref val="3"/>
        </dgm:presLayoutVars>
      </dgm:prSet>
      <dgm:spPr/>
    </dgm:pt>
    <dgm:pt modelId="{0C90373E-8D8A-488C-A181-81129EA06653}" type="pres">
      <dgm:prSet presAssocID="{731F6E43-5314-41A9-B499-0D6A797A559B}" presName="level3hierChild" presStyleCnt="0"/>
      <dgm:spPr/>
    </dgm:pt>
    <dgm:pt modelId="{7BAD0C93-37D1-42C2-8D8D-9B0F78CB5556}" type="pres">
      <dgm:prSet presAssocID="{7E447F1C-E1D6-4865-B468-885DAB11B738}" presName="conn2-1" presStyleLbl="parChTrans1D4" presStyleIdx="5" presStyleCnt="9"/>
      <dgm:spPr/>
    </dgm:pt>
    <dgm:pt modelId="{F89126FF-619A-427F-8F14-57493EB5986A}" type="pres">
      <dgm:prSet presAssocID="{7E447F1C-E1D6-4865-B468-885DAB11B738}" presName="connTx" presStyleLbl="parChTrans1D4" presStyleIdx="5" presStyleCnt="9"/>
      <dgm:spPr/>
    </dgm:pt>
    <dgm:pt modelId="{64EC3645-7CF8-4AB3-BAE3-D562D5C60363}" type="pres">
      <dgm:prSet presAssocID="{30BBD56C-BB28-4A6D-A999-F2A10CA495AC}" presName="root2" presStyleCnt="0"/>
      <dgm:spPr/>
    </dgm:pt>
    <dgm:pt modelId="{4F81ADDC-AFC4-4887-B52D-D0F8037DD4C6}" type="pres">
      <dgm:prSet presAssocID="{30BBD56C-BB28-4A6D-A999-F2A10CA495AC}" presName="LevelTwoTextNode" presStyleLbl="node4" presStyleIdx="5" presStyleCnt="9">
        <dgm:presLayoutVars>
          <dgm:chPref val="3"/>
        </dgm:presLayoutVars>
      </dgm:prSet>
      <dgm:spPr/>
    </dgm:pt>
    <dgm:pt modelId="{1C5B7BCF-0B68-4CDC-89E9-AAB8A1F56721}" type="pres">
      <dgm:prSet presAssocID="{30BBD56C-BB28-4A6D-A999-F2A10CA495AC}" presName="level3hierChild" presStyleCnt="0"/>
      <dgm:spPr/>
    </dgm:pt>
    <dgm:pt modelId="{6959F93E-D90E-4EF2-B96A-4085B4048925}" type="pres">
      <dgm:prSet presAssocID="{604E4E43-98BC-4E84-A1A3-546DEE24FABA}" presName="conn2-1" presStyleLbl="parChTrans1D4" presStyleIdx="6" presStyleCnt="9"/>
      <dgm:spPr/>
    </dgm:pt>
    <dgm:pt modelId="{FB710543-B89B-4D0C-A319-5F3FBBF12C78}" type="pres">
      <dgm:prSet presAssocID="{604E4E43-98BC-4E84-A1A3-546DEE24FABA}" presName="connTx" presStyleLbl="parChTrans1D4" presStyleIdx="6" presStyleCnt="9"/>
      <dgm:spPr/>
    </dgm:pt>
    <dgm:pt modelId="{1A4DDE63-FDD5-4360-A639-2583D9D1C242}" type="pres">
      <dgm:prSet presAssocID="{3B93573F-ED11-4EF6-83E0-8D50A3841E74}" presName="root2" presStyleCnt="0"/>
      <dgm:spPr/>
    </dgm:pt>
    <dgm:pt modelId="{DCE3B560-6DBC-4DC3-9F44-278D92FF2DAB}" type="pres">
      <dgm:prSet presAssocID="{3B93573F-ED11-4EF6-83E0-8D50A3841E74}" presName="LevelTwoTextNode" presStyleLbl="node4" presStyleIdx="6" presStyleCnt="9">
        <dgm:presLayoutVars>
          <dgm:chPref val="3"/>
        </dgm:presLayoutVars>
      </dgm:prSet>
      <dgm:spPr/>
    </dgm:pt>
    <dgm:pt modelId="{276DBDAD-26FA-4C46-9DD0-C3841A9F76D4}" type="pres">
      <dgm:prSet presAssocID="{3B93573F-ED11-4EF6-83E0-8D50A3841E74}" presName="level3hierChild" presStyleCnt="0"/>
      <dgm:spPr/>
    </dgm:pt>
    <dgm:pt modelId="{58BA20ED-3FB3-4CA7-9406-4D764C27463D}" type="pres">
      <dgm:prSet presAssocID="{5206EED5-F895-4DDB-9B9A-F3603C1DEFC3}" presName="conn2-1" presStyleLbl="parChTrans1D4" presStyleIdx="7" presStyleCnt="9"/>
      <dgm:spPr/>
    </dgm:pt>
    <dgm:pt modelId="{BA7B4D69-C97D-4B35-B7DF-E5EF99AC551E}" type="pres">
      <dgm:prSet presAssocID="{5206EED5-F895-4DDB-9B9A-F3603C1DEFC3}" presName="connTx" presStyleLbl="parChTrans1D4" presStyleIdx="7" presStyleCnt="9"/>
      <dgm:spPr/>
    </dgm:pt>
    <dgm:pt modelId="{9ACC887F-A17C-4CEE-B691-A0DF625A048E}" type="pres">
      <dgm:prSet presAssocID="{0163895A-EC06-46CC-930D-58EE9E7C907B}" presName="root2" presStyleCnt="0"/>
      <dgm:spPr/>
    </dgm:pt>
    <dgm:pt modelId="{D2E4C2E4-CEEF-4525-9491-E20F646DC36E}" type="pres">
      <dgm:prSet presAssocID="{0163895A-EC06-46CC-930D-58EE9E7C907B}" presName="LevelTwoTextNode" presStyleLbl="node4" presStyleIdx="7" presStyleCnt="9">
        <dgm:presLayoutVars>
          <dgm:chPref val="3"/>
        </dgm:presLayoutVars>
      </dgm:prSet>
      <dgm:spPr/>
    </dgm:pt>
    <dgm:pt modelId="{96A31EF5-CD6B-40C9-B3EC-D1DC0B982F55}" type="pres">
      <dgm:prSet presAssocID="{0163895A-EC06-46CC-930D-58EE9E7C907B}" presName="level3hierChild" presStyleCnt="0"/>
      <dgm:spPr/>
    </dgm:pt>
    <dgm:pt modelId="{BCFF733B-90D8-4429-AA02-7D364C621FF5}" type="pres">
      <dgm:prSet presAssocID="{4F8CC01D-DDC1-4324-8382-0F73B8E70610}" presName="conn2-1" presStyleLbl="parChTrans1D4" presStyleIdx="8" presStyleCnt="9"/>
      <dgm:spPr/>
    </dgm:pt>
    <dgm:pt modelId="{D1632930-41A5-4089-A09A-756D6D43695E}" type="pres">
      <dgm:prSet presAssocID="{4F8CC01D-DDC1-4324-8382-0F73B8E70610}" presName="connTx" presStyleLbl="parChTrans1D4" presStyleIdx="8" presStyleCnt="9"/>
      <dgm:spPr/>
    </dgm:pt>
    <dgm:pt modelId="{AB18B543-7246-4935-9405-13237DB8EB3E}" type="pres">
      <dgm:prSet presAssocID="{B3FA9FF2-207D-41CF-8629-ACCC941943D8}" presName="root2" presStyleCnt="0"/>
      <dgm:spPr/>
    </dgm:pt>
    <dgm:pt modelId="{DDFCFB6A-AAC9-4B91-8D00-51B1F10CD0C4}" type="pres">
      <dgm:prSet presAssocID="{B3FA9FF2-207D-41CF-8629-ACCC941943D8}" presName="LevelTwoTextNode" presStyleLbl="node4" presStyleIdx="8" presStyleCnt="9">
        <dgm:presLayoutVars>
          <dgm:chPref val="3"/>
        </dgm:presLayoutVars>
      </dgm:prSet>
      <dgm:spPr/>
    </dgm:pt>
    <dgm:pt modelId="{21460167-E8A8-47B5-A481-C81B116E03E6}" type="pres">
      <dgm:prSet presAssocID="{B3FA9FF2-207D-41CF-8629-ACCC941943D8}" presName="level3hierChild" presStyleCnt="0"/>
      <dgm:spPr/>
    </dgm:pt>
    <dgm:pt modelId="{856C8BCC-F2AB-499C-9564-97A9C2C3EF5D}" type="pres">
      <dgm:prSet presAssocID="{F0CC7280-EBB1-457F-93B9-04D8D1E184AF}" presName="conn2-1" presStyleLbl="parChTrans1D3" presStyleIdx="1" presStyleCnt="5"/>
      <dgm:spPr/>
    </dgm:pt>
    <dgm:pt modelId="{1C98A8A8-E7C3-4816-9DC0-E722597FC2B8}" type="pres">
      <dgm:prSet presAssocID="{F0CC7280-EBB1-457F-93B9-04D8D1E184AF}" presName="connTx" presStyleLbl="parChTrans1D3" presStyleIdx="1" presStyleCnt="5"/>
      <dgm:spPr/>
    </dgm:pt>
    <dgm:pt modelId="{53F414BB-0939-4C83-ABE8-8A7120AACCF3}" type="pres">
      <dgm:prSet presAssocID="{DBFDFB1C-B2A2-421C-B744-5873AECB0DA3}" presName="root2" presStyleCnt="0"/>
      <dgm:spPr/>
    </dgm:pt>
    <dgm:pt modelId="{804DB137-ED63-45DC-9AEE-BFCCF1D8DB96}" type="pres">
      <dgm:prSet presAssocID="{DBFDFB1C-B2A2-421C-B744-5873AECB0DA3}" presName="LevelTwoTextNode" presStyleLbl="node3" presStyleIdx="1" presStyleCnt="5">
        <dgm:presLayoutVars>
          <dgm:chPref val="3"/>
        </dgm:presLayoutVars>
      </dgm:prSet>
      <dgm:spPr/>
    </dgm:pt>
    <dgm:pt modelId="{4FA9EE24-F56A-40CB-BC97-20BEBB082FE4}" type="pres">
      <dgm:prSet presAssocID="{DBFDFB1C-B2A2-421C-B744-5873AECB0DA3}" presName="level3hierChild" presStyleCnt="0"/>
      <dgm:spPr/>
    </dgm:pt>
    <dgm:pt modelId="{C4177019-5465-4C4E-A405-88BF7961DEE7}" type="pres">
      <dgm:prSet presAssocID="{0A5BAE7A-3862-499A-8851-2980064A77E8}" presName="conn2-1" presStyleLbl="parChTrans1D2" presStyleIdx="1" presStyleCnt="2"/>
      <dgm:spPr/>
    </dgm:pt>
    <dgm:pt modelId="{B58A830A-DD47-4596-A63E-15EB748F7EEB}" type="pres">
      <dgm:prSet presAssocID="{0A5BAE7A-3862-499A-8851-2980064A77E8}" presName="connTx" presStyleLbl="parChTrans1D2" presStyleIdx="1" presStyleCnt="2"/>
      <dgm:spPr/>
    </dgm:pt>
    <dgm:pt modelId="{BB44D23B-6B4A-4B87-AFFD-E633D84CDB97}" type="pres">
      <dgm:prSet presAssocID="{C586EC9A-B700-498A-959E-4115E3BAA0F5}" presName="root2" presStyleCnt="0"/>
      <dgm:spPr/>
    </dgm:pt>
    <dgm:pt modelId="{8B173059-1616-4E46-AD8B-85FF24588ACA}" type="pres">
      <dgm:prSet presAssocID="{C586EC9A-B700-498A-959E-4115E3BAA0F5}" presName="LevelTwoTextNode" presStyleLbl="node2" presStyleIdx="1" presStyleCnt="2">
        <dgm:presLayoutVars>
          <dgm:chPref val="3"/>
        </dgm:presLayoutVars>
      </dgm:prSet>
      <dgm:spPr/>
    </dgm:pt>
    <dgm:pt modelId="{EF51C971-FFED-4F31-A3BB-705CDFC39634}" type="pres">
      <dgm:prSet presAssocID="{C586EC9A-B700-498A-959E-4115E3BAA0F5}" presName="level3hierChild" presStyleCnt="0"/>
      <dgm:spPr/>
    </dgm:pt>
    <dgm:pt modelId="{3D259EB4-A053-44F0-A4C2-AB5DC63C1546}" type="pres">
      <dgm:prSet presAssocID="{BB2FAA05-8AC0-438D-AAB5-F46C50655C75}" presName="conn2-1" presStyleLbl="parChTrans1D3" presStyleIdx="2" presStyleCnt="5"/>
      <dgm:spPr/>
    </dgm:pt>
    <dgm:pt modelId="{007076AB-9B71-4E0A-AA8A-767BBF0C6DCB}" type="pres">
      <dgm:prSet presAssocID="{BB2FAA05-8AC0-438D-AAB5-F46C50655C75}" presName="connTx" presStyleLbl="parChTrans1D3" presStyleIdx="2" presStyleCnt="5"/>
      <dgm:spPr/>
    </dgm:pt>
    <dgm:pt modelId="{CEF62B93-A22E-45E2-ADE9-69EFC600DBE3}" type="pres">
      <dgm:prSet presAssocID="{659F9435-305F-4F7C-B6E7-A6B7F1BD1D7A}" presName="root2" presStyleCnt="0"/>
      <dgm:spPr/>
    </dgm:pt>
    <dgm:pt modelId="{B6655EB9-089A-4E8A-B11B-4620746F5015}" type="pres">
      <dgm:prSet presAssocID="{659F9435-305F-4F7C-B6E7-A6B7F1BD1D7A}" presName="LevelTwoTextNode" presStyleLbl="node3" presStyleIdx="2" presStyleCnt="5">
        <dgm:presLayoutVars>
          <dgm:chPref val="3"/>
        </dgm:presLayoutVars>
      </dgm:prSet>
      <dgm:spPr/>
    </dgm:pt>
    <dgm:pt modelId="{81E4E535-82CD-4132-B963-357F6C38F0AB}" type="pres">
      <dgm:prSet presAssocID="{659F9435-305F-4F7C-B6E7-A6B7F1BD1D7A}" presName="level3hierChild" presStyleCnt="0"/>
      <dgm:spPr/>
    </dgm:pt>
    <dgm:pt modelId="{9ACEDA89-1D8D-439A-A484-B4501F0197BD}" type="pres">
      <dgm:prSet presAssocID="{4BBEF6EB-B789-4DE5-AEC9-FA12B685DF3F}" presName="conn2-1" presStyleLbl="parChTrans1D3" presStyleIdx="3" presStyleCnt="5"/>
      <dgm:spPr/>
    </dgm:pt>
    <dgm:pt modelId="{D98E2484-E99C-4E86-B04F-84C3F1EB980B}" type="pres">
      <dgm:prSet presAssocID="{4BBEF6EB-B789-4DE5-AEC9-FA12B685DF3F}" presName="connTx" presStyleLbl="parChTrans1D3" presStyleIdx="3" presStyleCnt="5"/>
      <dgm:spPr/>
    </dgm:pt>
    <dgm:pt modelId="{59058BC2-3126-43E0-A83D-2EF06677FDC9}" type="pres">
      <dgm:prSet presAssocID="{7F0F5D30-742C-4AF8-A179-C9560800CDDD}" presName="root2" presStyleCnt="0"/>
      <dgm:spPr/>
    </dgm:pt>
    <dgm:pt modelId="{E6C1B7B3-3911-4A09-85E4-707C414FCE8D}" type="pres">
      <dgm:prSet presAssocID="{7F0F5D30-742C-4AF8-A179-C9560800CDDD}" presName="LevelTwoTextNode" presStyleLbl="node3" presStyleIdx="3" presStyleCnt="5">
        <dgm:presLayoutVars>
          <dgm:chPref val="3"/>
        </dgm:presLayoutVars>
      </dgm:prSet>
      <dgm:spPr/>
    </dgm:pt>
    <dgm:pt modelId="{4EE2530B-2BB9-4DA1-ACBB-4BECDA812D4A}" type="pres">
      <dgm:prSet presAssocID="{7F0F5D30-742C-4AF8-A179-C9560800CDDD}" presName="level3hierChild" presStyleCnt="0"/>
      <dgm:spPr/>
    </dgm:pt>
    <dgm:pt modelId="{F1288B3B-959F-401F-B1A9-0E810A3656E5}" type="pres">
      <dgm:prSet presAssocID="{5356E8D1-D866-46E6-B281-F5C4B3009B87}" presName="conn2-1" presStyleLbl="parChTrans1D3" presStyleIdx="4" presStyleCnt="5"/>
      <dgm:spPr/>
    </dgm:pt>
    <dgm:pt modelId="{23C07519-A0A5-4520-854A-7132E549E3BC}" type="pres">
      <dgm:prSet presAssocID="{5356E8D1-D866-46E6-B281-F5C4B3009B87}" presName="connTx" presStyleLbl="parChTrans1D3" presStyleIdx="4" presStyleCnt="5"/>
      <dgm:spPr/>
    </dgm:pt>
    <dgm:pt modelId="{FDABCCC6-3444-4D6D-A2A9-46B20A847648}" type="pres">
      <dgm:prSet presAssocID="{1598603A-E9F1-43EA-B832-7B3260CA2AEA}" presName="root2" presStyleCnt="0"/>
      <dgm:spPr/>
    </dgm:pt>
    <dgm:pt modelId="{C7321DF5-EFA7-4D12-8FF3-76E53A659D1C}" type="pres">
      <dgm:prSet presAssocID="{1598603A-E9F1-43EA-B832-7B3260CA2AEA}" presName="LevelTwoTextNode" presStyleLbl="node3" presStyleIdx="4" presStyleCnt="5">
        <dgm:presLayoutVars>
          <dgm:chPref val="3"/>
        </dgm:presLayoutVars>
      </dgm:prSet>
      <dgm:spPr/>
    </dgm:pt>
    <dgm:pt modelId="{17D766A3-5907-45D2-822A-23D645294608}" type="pres">
      <dgm:prSet presAssocID="{1598603A-E9F1-43EA-B832-7B3260CA2AEA}" presName="level3hierChild" presStyleCnt="0"/>
      <dgm:spPr/>
    </dgm:pt>
  </dgm:ptLst>
  <dgm:cxnLst>
    <dgm:cxn modelId="{353D5902-3656-4339-BF57-1E2310D57DBA}" type="presOf" srcId="{5356E8D1-D866-46E6-B281-F5C4B3009B87}" destId="{23C07519-A0A5-4520-854A-7132E549E3BC}" srcOrd="1" destOrd="0" presId="urn:microsoft.com/office/officeart/2005/8/layout/hierarchy2"/>
    <dgm:cxn modelId="{BAD3F602-0027-40C4-BC31-439EBD7CC247}" type="presOf" srcId="{5206EED5-F895-4DDB-9B9A-F3603C1DEFC3}" destId="{BA7B4D69-C97D-4B35-B7DF-E5EF99AC551E}" srcOrd="1" destOrd="0" presId="urn:microsoft.com/office/officeart/2005/8/layout/hierarchy2"/>
    <dgm:cxn modelId="{DEF5FA07-3149-4E7A-859B-AEE263A4C18A}" srcId="{965B0EB1-81B0-4F99-A5EC-4C1DCCA7C4DC}" destId="{DBFDFB1C-B2A2-421C-B744-5873AECB0DA3}" srcOrd="1" destOrd="0" parTransId="{F0CC7280-EBB1-457F-93B9-04D8D1E184AF}" sibTransId="{EF272311-603C-4A8D-A285-FCD74BFF3CD6}"/>
    <dgm:cxn modelId="{8A853909-080B-4927-A119-AE7706F67D95}" type="presOf" srcId="{4BBEF6EB-B789-4DE5-AEC9-FA12B685DF3F}" destId="{9ACEDA89-1D8D-439A-A484-B4501F0197BD}" srcOrd="0" destOrd="0" presId="urn:microsoft.com/office/officeart/2005/8/layout/hierarchy2"/>
    <dgm:cxn modelId="{004B7B09-A853-49D1-9659-B3EA671FAF04}" type="presOf" srcId="{81C2BAD6-FCAA-40FE-8520-213B324C2C07}" destId="{7D5868BA-9DB3-4248-AC35-BAF5E5100DF3}" srcOrd="1" destOrd="0" presId="urn:microsoft.com/office/officeart/2005/8/layout/hierarchy2"/>
    <dgm:cxn modelId="{A529A80F-02CC-4B94-8300-2B6DB8B9B714}" type="presOf" srcId="{F0CC7280-EBB1-457F-93B9-04D8D1E184AF}" destId="{1C98A8A8-E7C3-4816-9DC0-E722597FC2B8}" srcOrd="1" destOrd="0" presId="urn:microsoft.com/office/officeart/2005/8/layout/hierarchy2"/>
    <dgm:cxn modelId="{BA2F7610-2A72-4656-B269-EBBFE3221B06}" srcId="{3346D89D-EF64-4856-8515-33C0EA29F374}" destId="{965B0EB1-81B0-4F99-A5EC-4C1DCCA7C4DC}" srcOrd="0" destOrd="0" parTransId="{81C2BAD6-FCAA-40FE-8520-213B324C2C07}" sibTransId="{3CE3E218-79F1-45C3-8CDE-9D27A7F8BC91}"/>
    <dgm:cxn modelId="{8F6E9717-9C9B-4FD1-A425-B4F53532AD4C}" type="presOf" srcId="{731F6E43-5314-41A9-B499-0D6A797A559B}" destId="{B0F2771C-2A2F-4C4A-A072-228E564D53C3}" srcOrd="0" destOrd="0" presId="urn:microsoft.com/office/officeart/2005/8/layout/hierarchy2"/>
    <dgm:cxn modelId="{6B23AD34-1BA3-407F-890E-A0343AAB3A16}" type="presOf" srcId="{F0CC7280-EBB1-457F-93B9-04D8D1E184AF}" destId="{856C8BCC-F2AB-499C-9564-97A9C2C3EF5D}" srcOrd="0" destOrd="0" presId="urn:microsoft.com/office/officeart/2005/8/layout/hierarchy2"/>
    <dgm:cxn modelId="{60159737-2203-403C-9259-1173D3F36EFD}" type="presOf" srcId="{BB2FAA05-8AC0-438D-AAB5-F46C50655C75}" destId="{3D259EB4-A053-44F0-A4C2-AB5DC63C1546}" srcOrd="0" destOrd="0" presId="urn:microsoft.com/office/officeart/2005/8/layout/hierarchy2"/>
    <dgm:cxn modelId="{A2FA743A-69B2-4750-A701-E49A50BC6D8B}" type="presOf" srcId="{965B0EB1-81B0-4F99-A5EC-4C1DCCA7C4DC}" destId="{2A84C543-9264-4D38-93DC-094C8E3E1E77}" srcOrd="0" destOrd="0" presId="urn:microsoft.com/office/officeart/2005/8/layout/hierarchy2"/>
    <dgm:cxn modelId="{5DCBEF5C-9392-4868-9176-B9191A8F34F4}" type="presOf" srcId="{604E4E43-98BC-4E84-A1A3-546DEE24FABA}" destId="{FB710543-B89B-4D0C-A319-5F3FBBF12C78}" srcOrd="1" destOrd="0" presId="urn:microsoft.com/office/officeart/2005/8/layout/hierarchy2"/>
    <dgm:cxn modelId="{63D6CD5F-3B4B-446B-9FE6-82DDE1260A58}" type="presOf" srcId="{B3FA9FF2-207D-41CF-8629-ACCC941943D8}" destId="{DDFCFB6A-AAC9-4B91-8D00-51B1F10CD0C4}" srcOrd="0" destOrd="0" presId="urn:microsoft.com/office/officeart/2005/8/layout/hierarchy2"/>
    <dgm:cxn modelId="{951A0960-A6AA-4976-8862-EFE3BABF609E}" type="presOf" srcId="{C1014E67-7D2C-4D00-AD6C-5DF147EE9AA6}" destId="{05D8B696-2275-490A-A07C-1B2E4A459329}" srcOrd="0" destOrd="0" presId="urn:microsoft.com/office/officeart/2005/8/layout/hierarchy2"/>
    <dgm:cxn modelId="{6469FE42-9874-47EE-9534-108EBDFDCA3A}" srcId="{5DC83E2E-29E0-42F5-9136-C6E1EB752D3B}" destId="{3B93573F-ED11-4EF6-83E0-8D50A3841E74}" srcOrd="2" destOrd="0" parTransId="{604E4E43-98BC-4E84-A1A3-546DEE24FABA}" sibTransId="{2C0C61D3-A834-499D-8A1E-88E063CBDCFE}"/>
    <dgm:cxn modelId="{70AF2263-D6CB-4A6D-9A8E-6B226A07F479}" type="presOf" srcId="{659F9435-305F-4F7C-B6E7-A6B7F1BD1D7A}" destId="{B6655EB9-089A-4E8A-B11B-4620746F5015}" srcOrd="0" destOrd="0" presId="urn:microsoft.com/office/officeart/2005/8/layout/hierarchy2"/>
    <dgm:cxn modelId="{51E43D43-9718-42B5-8E2A-C0EED189D41F}" srcId="{5DC83E2E-29E0-42F5-9136-C6E1EB752D3B}" destId="{30BBD56C-BB28-4A6D-A999-F2A10CA495AC}" srcOrd="1" destOrd="0" parTransId="{7E447F1C-E1D6-4865-B468-885DAB11B738}" sibTransId="{E35FE541-7827-43A5-AC60-8D0432115D8C}"/>
    <dgm:cxn modelId="{58A03866-82E8-4510-8762-A859EEB78E9D}" type="presOf" srcId="{C60B81A6-9C90-4371-90B6-73646AA8DF7E}" destId="{3F6C3E3D-82C9-41F6-B77F-AA4ECF3CB349}" srcOrd="0" destOrd="0" presId="urn:microsoft.com/office/officeart/2005/8/layout/hierarchy2"/>
    <dgm:cxn modelId="{07B53F47-39C1-4EEA-B63F-ABE62D5EAD4B}" type="presOf" srcId="{5356E8D1-D866-46E6-B281-F5C4B3009B87}" destId="{F1288B3B-959F-401F-B1A9-0E810A3656E5}" srcOrd="0" destOrd="0" presId="urn:microsoft.com/office/officeart/2005/8/layout/hierarchy2"/>
    <dgm:cxn modelId="{BA147749-CD50-42AA-87F5-09DFD6613CE0}" type="presOf" srcId="{1598603A-E9F1-43EA-B832-7B3260CA2AEA}" destId="{C7321DF5-EFA7-4D12-8FF3-76E53A659D1C}" srcOrd="0" destOrd="0" presId="urn:microsoft.com/office/officeart/2005/8/layout/hierarchy2"/>
    <dgm:cxn modelId="{25C1E969-9537-4988-8D08-569E59F71707}" srcId="{3AACE83D-CB44-4559-93CA-24CD77BC230B}" destId="{6D03C73E-0BD6-4FBE-A6C4-5613C5A50F0B}" srcOrd="0" destOrd="0" parTransId="{627A8E5D-92E1-4E32-ACB8-E179FB16A8AB}" sibTransId="{ECD973F4-075B-4C27-9699-25312572686F}"/>
    <dgm:cxn modelId="{34D01B6A-1D40-4F36-95D9-923B44F55F53}" type="presOf" srcId="{4BBEF6EB-B789-4DE5-AEC9-FA12B685DF3F}" destId="{D98E2484-E99C-4E86-B04F-84C3F1EB980B}" srcOrd="1" destOrd="0" presId="urn:microsoft.com/office/officeart/2005/8/layout/hierarchy2"/>
    <dgm:cxn modelId="{4547DE4D-53BA-4EF3-8B2D-E9C0553A33A8}" type="presOf" srcId="{8E895903-6303-4261-BBE9-E02C1A094AE1}" destId="{963ED822-7448-476C-8265-6254FF5795FF}" srcOrd="0" destOrd="0" presId="urn:microsoft.com/office/officeart/2005/8/layout/hierarchy2"/>
    <dgm:cxn modelId="{648FC66E-2144-47DA-8B4A-D577B2F8609B}" srcId="{5DC83E2E-29E0-42F5-9136-C6E1EB752D3B}" destId="{731F6E43-5314-41A9-B499-0D6A797A559B}" srcOrd="0" destOrd="0" parTransId="{C60B81A6-9C90-4371-90B6-73646AA8DF7E}" sibTransId="{663FEB4E-82BF-4C4A-8D6A-B8F4DC3579A1}"/>
    <dgm:cxn modelId="{6CA07F6F-2200-4928-A959-5B1C2E3DAE90}" srcId="{5F53C65D-DC0C-4189-B9B9-9B4AABAC555B}" destId="{3346D89D-EF64-4856-8515-33C0EA29F374}" srcOrd="0" destOrd="0" parTransId="{5AF19A8A-5C6F-4E95-8110-3D0A52BE9AF0}" sibTransId="{72C610B4-48F1-4596-BDE6-DC12AFBC8AE6}"/>
    <dgm:cxn modelId="{95CBF36F-6D13-42E5-ACD0-A37EB6AF96EE}" type="presOf" srcId="{F7695FFF-AAE2-4A78-8FBA-60DBAC76AEF7}" destId="{62CBE712-4967-4A87-BF0E-A98CECC4AB06}" srcOrd="1" destOrd="0" presId="urn:microsoft.com/office/officeart/2005/8/layout/hierarchy2"/>
    <dgm:cxn modelId="{81E3B870-6AF0-48F7-B279-C1AD35D72578}" type="presOf" srcId="{3B93573F-ED11-4EF6-83E0-8D50A3841E74}" destId="{DCE3B560-6DBC-4DC3-9F44-278D92FF2DAB}" srcOrd="0" destOrd="0" presId="urn:microsoft.com/office/officeart/2005/8/layout/hierarchy2"/>
    <dgm:cxn modelId="{F32CA572-A456-4296-933A-81F90791E315}" srcId="{5DC83E2E-29E0-42F5-9136-C6E1EB752D3B}" destId="{B3FA9FF2-207D-41CF-8629-ACCC941943D8}" srcOrd="4" destOrd="0" parTransId="{4F8CC01D-DDC1-4324-8382-0F73B8E70610}" sibTransId="{4B2BAB99-E8D9-4F8F-84EC-A87700E20829}"/>
    <dgm:cxn modelId="{FEFCB977-5D41-4F7B-94DE-40D50251E2F8}" type="presOf" srcId="{604E4E43-98BC-4E84-A1A3-546DEE24FABA}" destId="{6959F93E-D90E-4EF2-B96A-4085B4048925}" srcOrd="0" destOrd="0" presId="urn:microsoft.com/office/officeart/2005/8/layout/hierarchy2"/>
    <dgm:cxn modelId="{63F0137A-55D0-4495-92D8-7095A2E3777F}" type="presOf" srcId="{7E447F1C-E1D6-4865-B468-885DAB11B738}" destId="{7BAD0C93-37D1-42C2-8D8D-9B0F78CB5556}" srcOrd="0" destOrd="0" presId="urn:microsoft.com/office/officeart/2005/8/layout/hierarchy2"/>
    <dgm:cxn modelId="{65D3B27A-36E2-4617-947F-F528FDCC7BBC}" type="presOf" srcId="{9317F141-8B0E-41D8-B9B3-85D367C729AE}" destId="{6948337D-53D0-4027-9CA2-37638A772596}" srcOrd="0" destOrd="0" presId="urn:microsoft.com/office/officeart/2005/8/layout/hierarchy2"/>
    <dgm:cxn modelId="{66C88083-1178-4247-ACFE-FD212D232B21}" type="presOf" srcId="{BB2FAA05-8AC0-438D-AAB5-F46C50655C75}" destId="{007076AB-9B71-4E0A-AA8A-767BBF0C6DCB}" srcOrd="1" destOrd="0" presId="urn:microsoft.com/office/officeart/2005/8/layout/hierarchy2"/>
    <dgm:cxn modelId="{1E6EA688-2AE3-4B38-94DF-28B6C580EFFB}" type="presOf" srcId="{7E447F1C-E1D6-4865-B468-885DAB11B738}" destId="{F89126FF-619A-427F-8F14-57493EB5986A}" srcOrd="1" destOrd="0" presId="urn:microsoft.com/office/officeart/2005/8/layout/hierarchy2"/>
    <dgm:cxn modelId="{2BDBF38F-47C4-4965-AF80-290C0DA0C73D}" type="presOf" srcId="{5206EED5-F895-4DDB-9B9A-F3603C1DEFC3}" destId="{58BA20ED-3FB3-4CA7-9406-4D764C27463D}" srcOrd="0" destOrd="0" presId="urn:microsoft.com/office/officeart/2005/8/layout/hierarchy2"/>
    <dgm:cxn modelId="{2B21C291-9731-4B06-97C2-53A066A3DBC1}" type="presOf" srcId="{627A8E5D-92E1-4E32-ACB8-E179FB16A8AB}" destId="{4A3177D4-A07C-4556-85CC-3DBFA31A126C}" srcOrd="0" destOrd="0" presId="urn:microsoft.com/office/officeart/2005/8/layout/hierarchy2"/>
    <dgm:cxn modelId="{18F16B92-0654-4F58-942A-1D3F05C8836E}" type="presOf" srcId="{1F2CDC61-359C-4C5B-AB05-2B2EB7BBAC62}" destId="{F827C84D-C902-4043-A584-5B94C7A5E400}" srcOrd="0" destOrd="0" presId="urn:microsoft.com/office/officeart/2005/8/layout/hierarchy2"/>
    <dgm:cxn modelId="{1EB3A494-0A06-4472-B49E-54F10986977A}" type="presOf" srcId="{C586EC9A-B700-498A-959E-4115E3BAA0F5}" destId="{8B173059-1616-4E46-AD8B-85FF24588ACA}" srcOrd="0" destOrd="0" presId="urn:microsoft.com/office/officeart/2005/8/layout/hierarchy2"/>
    <dgm:cxn modelId="{1665F99E-9308-4437-B672-06A0A62EE217}" type="presOf" srcId="{81C2BAD6-FCAA-40FE-8520-213B324C2C07}" destId="{6393710A-3538-4735-BE76-9652413454FD}" srcOrd="0" destOrd="0" presId="urn:microsoft.com/office/officeart/2005/8/layout/hierarchy2"/>
    <dgm:cxn modelId="{DB42DAA0-5DBE-458E-8B9A-3C68E8564CF1}" type="presOf" srcId="{4F8CC01D-DDC1-4324-8382-0F73B8E70610}" destId="{BCFF733B-90D8-4429-AA02-7D364C621FF5}" srcOrd="0" destOrd="0" presId="urn:microsoft.com/office/officeart/2005/8/layout/hierarchy2"/>
    <dgm:cxn modelId="{1D7B2EA2-97FD-4F92-9768-093606C2F9A6}" type="presOf" srcId="{5F53C65D-DC0C-4189-B9B9-9B4AABAC555B}" destId="{D9B3E4F1-252E-4B2D-B382-A069D89249C0}" srcOrd="0" destOrd="0" presId="urn:microsoft.com/office/officeart/2005/8/layout/hierarchy2"/>
    <dgm:cxn modelId="{95A91CA4-DFF6-491E-A90F-7A3615E679AC}" type="presOf" srcId="{F7695FFF-AAE2-4A78-8FBA-60DBAC76AEF7}" destId="{D81B599E-14A9-4109-9B16-39AD9E1E54C2}" srcOrd="0" destOrd="0" presId="urn:microsoft.com/office/officeart/2005/8/layout/hierarchy2"/>
    <dgm:cxn modelId="{0CE6A3AC-051C-4BA2-85BB-A74F6FDA26C4}" srcId="{6D03C73E-0BD6-4FBE-A6C4-5613C5A50F0B}" destId="{26D781D5-BCFA-4615-89AB-D3943C8E9512}" srcOrd="1" destOrd="0" parTransId="{C1014E67-7D2C-4D00-AD6C-5DF147EE9AA6}" sibTransId="{E5000410-03A2-4B3F-B1F2-02DFC56AEB78}"/>
    <dgm:cxn modelId="{8BCE55B3-4BF9-4362-9B2D-B0D89177365C}" type="presOf" srcId="{9317F141-8B0E-41D8-B9B3-85D367C729AE}" destId="{5C2984E9-40F9-44F7-86C7-7615A7383676}" srcOrd="1" destOrd="0" presId="urn:microsoft.com/office/officeart/2005/8/layout/hierarchy2"/>
    <dgm:cxn modelId="{404F78B3-E927-48D7-9D6F-7A17572536D3}" type="presOf" srcId="{7F0F5D30-742C-4AF8-A179-C9560800CDDD}" destId="{E6C1B7B3-3911-4A09-85E4-707C414FCE8D}" srcOrd="0" destOrd="0" presId="urn:microsoft.com/office/officeart/2005/8/layout/hierarchy2"/>
    <dgm:cxn modelId="{F26ADBB6-FF48-4DFF-9828-E3ECCDCBC301}" srcId="{C586EC9A-B700-498A-959E-4115E3BAA0F5}" destId="{1598603A-E9F1-43EA-B832-7B3260CA2AEA}" srcOrd="2" destOrd="0" parTransId="{5356E8D1-D866-46E6-B281-F5C4B3009B87}" sibTransId="{7EA75366-2355-4CDD-BDE3-B8C80814111C}"/>
    <dgm:cxn modelId="{1C0761BD-6C9C-407A-A367-E58804E6EBD7}" type="presOf" srcId="{3346D89D-EF64-4856-8515-33C0EA29F374}" destId="{6D1B5028-DD57-45EB-B3DC-BF698F36990B}" srcOrd="0" destOrd="0" presId="urn:microsoft.com/office/officeart/2005/8/layout/hierarchy2"/>
    <dgm:cxn modelId="{AC7BD6BF-B9CB-4DA3-B14A-F573D399F592}" type="presOf" srcId="{C1014E67-7D2C-4D00-AD6C-5DF147EE9AA6}" destId="{3B11EF34-D297-4CBD-BAB5-6FC6BDB99534}" srcOrd="1" destOrd="0" presId="urn:microsoft.com/office/officeart/2005/8/layout/hierarchy2"/>
    <dgm:cxn modelId="{DB5324C0-6A9D-4872-80A1-EF2D6C1F9E98}" srcId="{C586EC9A-B700-498A-959E-4115E3BAA0F5}" destId="{7F0F5D30-742C-4AF8-A179-C9560800CDDD}" srcOrd="1" destOrd="0" parTransId="{4BBEF6EB-B789-4DE5-AEC9-FA12B685DF3F}" sibTransId="{D79016FB-56E4-4008-9523-8E0E601F17C6}"/>
    <dgm:cxn modelId="{7A6B6EC1-0BF6-42F0-8A96-CB793C06A43D}" srcId="{3AACE83D-CB44-4559-93CA-24CD77BC230B}" destId="{5DC83E2E-29E0-42F5-9136-C6E1EB752D3B}" srcOrd="1" destOrd="0" parTransId="{F7695FFF-AAE2-4A78-8FBA-60DBAC76AEF7}" sibTransId="{F7A2D9F7-AD8C-4A83-8176-64DA5691EC29}"/>
    <dgm:cxn modelId="{FE7E90C3-1B4C-4405-8BEE-CFF0A706C0F6}" srcId="{3346D89D-EF64-4856-8515-33C0EA29F374}" destId="{C586EC9A-B700-498A-959E-4115E3BAA0F5}" srcOrd="1" destOrd="0" parTransId="{0A5BAE7A-3862-499A-8851-2980064A77E8}" sibTransId="{D2477747-D854-4D35-931B-42CF4CD3E976}"/>
    <dgm:cxn modelId="{D475B6D0-ADBC-465B-A356-9E062A4C901F}" type="presOf" srcId="{0163895A-EC06-46CC-930D-58EE9E7C907B}" destId="{D2E4C2E4-CEEF-4525-9491-E20F646DC36E}" srcOrd="0" destOrd="0" presId="urn:microsoft.com/office/officeart/2005/8/layout/hierarchy2"/>
    <dgm:cxn modelId="{8C15CAD7-51DF-41B6-B804-5A32862476C5}" type="presOf" srcId="{26D781D5-BCFA-4615-89AB-D3943C8E9512}" destId="{BB46E006-0E18-43B9-987A-9C21921EDD06}" srcOrd="0" destOrd="0" presId="urn:microsoft.com/office/officeart/2005/8/layout/hierarchy2"/>
    <dgm:cxn modelId="{38456EDB-D8C8-4090-AE64-56F17C1E0D62}" type="presOf" srcId="{0A5BAE7A-3862-499A-8851-2980064A77E8}" destId="{C4177019-5465-4C4E-A405-88BF7961DEE7}" srcOrd="0" destOrd="0" presId="urn:microsoft.com/office/officeart/2005/8/layout/hierarchy2"/>
    <dgm:cxn modelId="{01FB2CE1-30B4-4221-8EB5-142975A306BB}" type="presOf" srcId="{4F8CC01D-DDC1-4324-8382-0F73B8E70610}" destId="{D1632930-41A5-4089-A09A-756D6D43695E}" srcOrd="1" destOrd="0" presId="urn:microsoft.com/office/officeart/2005/8/layout/hierarchy2"/>
    <dgm:cxn modelId="{DD89E8E1-FF24-4032-9746-EFA7B8B5F2FE}" srcId="{5DC83E2E-29E0-42F5-9136-C6E1EB752D3B}" destId="{0163895A-EC06-46CC-930D-58EE9E7C907B}" srcOrd="3" destOrd="0" parTransId="{5206EED5-F895-4DDB-9B9A-F3603C1DEFC3}" sibTransId="{4F69AC83-5371-4223-B2A4-E12E65ACAE9B}"/>
    <dgm:cxn modelId="{C2D55DE4-9EBC-48D6-87F0-E50C113E005E}" type="presOf" srcId="{30BBD56C-BB28-4A6D-A999-F2A10CA495AC}" destId="{4F81ADDC-AFC4-4887-B52D-D0F8037DD4C6}" srcOrd="0" destOrd="0" presId="urn:microsoft.com/office/officeart/2005/8/layout/hierarchy2"/>
    <dgm:cxn modelId="{8BB356E4-FE38-4F45-8E86-C1F61C8DD3A8}" type="presOf" srcId="{DBFDFB1C-B2A2-421C-B744-5873AECB0DA3}" destId="{804DB137-ED63-45DC-9AEE-BFCCF1D8DB96}" srcOrd="0" destOrd="0" presId="urn:microsoft.com/office/officeart/2005/8/layout/hierarchy2"/>
    <dgm:cxn modelId="{A1D756E9-3FEC-4104-A6AC-25CD4C4D3CB0}" srcId="{C586EC9A-B700-498A-959E-4115E3BAA0F5}" destId="{659F9435-305F-4F7C-B6E7-A6B7F1BD1D7A}" srcOrd="0" destOrd="0" parTransId="{BB2FAA05-8AC0-438D-AAB5-F46C50655C75}" sibTransId="{811B3E7B-C939-41E9-9805-E6F72516400B}"/>
    <dgm:cxn modelId="{9A74CDEB-3A5B-48BF-9197-8FC6881D7DFC}" type="presOf" srcId="{627A8E5D-92E1-4E32-ACB8-E179FB16A8AB}" destId="{9F6329F8-56A0-44EB-B0B5-00D4DAF10C2E}" srcOrd="1" destOrd="0" presId="urn:microsoft.com/office/officeart/2005/8/layout/hierarchy2"/>
    <dgm:cxn modelId="{9CECCDEC-5FB4-46BE-B67A-34E082076930}" type="presOf" srcId="{3AACE83D-CB44-4559-93CA-24CD77BC230B}" destId="{70BFE8DE-26E9-4B4F-91AB-F4E276392F40}" srcOrd="0" destOrd="0" presId="urn:microsoft.com/office/officeart/2005/8/layout/hierarchy2"/>
    <dgm:cxn modelId="{44D7CBED-6F04-4D8F-990C-32B6048D78D5}" srcId="{965B0EB1-81B0-4F99-A5EC-4C1DCCA7C4DC}" destId="{3AACE83D-CB44-4559-93CA-24CD77BC230B}" srcOrd="0" destOrd="0" parTransId="{9317F141-8B0E-41D8-B9B3-85D367C729AE}" sibTransId="{E3BAC29F-7129-4000-9CA4-9AAE71E296E0}"/>
    <dgm:cxn modelId="{83F26CEE-9C33-447B-93CC-3689E7A00BD9}" type="presOf" srcId="{0A5BAE7A-3862-499A-8851-2980064A77E8}" destId="{B58A830A-DD47-4596-A63E-15EB748F7EEB}" srcOrd="1" destOrd="0" presId="urn:microsoft.com/office/officeart/2005/8/layout/hierarchy2"/>
    <dgm:cxn modelId="{CD2B17F3-1592-4134-88D8-FB27DB05D86E}" type="presOf" srcId="{5DC83E2E-29E0-42F5-9136-C6E1EB752D3B}" destId="{8DC202F6-6D8F-459D-8D53-3BF10E2A834E}" srcOrd="0" destOrd="0" presId="urn:microsoft.com/office/officeart/2005/8/layout/hierarchy2"/>
    <dgm:cxn modelId="{086DC7F3-0166-446B-8EC5-818F37ECA6F0}" srcId="{6D03C73E-0BD6-4FBE-A6C4-5613C5A50F0B}" destId="{1F2CDC61-359C-4C5B-AB05-2B2EB7BBAC62}" srcOrd="0" destOrd="0" parTransId="{8E895903-6303-4261-BBE9-E02C1A094AE1}" sibTransId="{5D0AE7D7-BFDD-4A27-B598-8D92F5347CEA}"/>
    <dgm:cxn modelId="{04BCC6F6-95E5-4051-BB3D-894DCF545D60}" type="presOf" srcId="{8E895903-6303-4261-BBE9-E02C1A094AE1}" destId="{5F2E5195-7A83-4DCB-A3C7-7F2F5C0B3F04}" srcOrd="1" destOrd="0" presId="urn:microsoft.com/office/officeart/2005/8/layout/hierarchy2"/>
    <dgm:cxn modelId="{0A3815FA-E49E-4F4A-8E3A-D46D0AD572A0}" type="presOf" srcId="{C60B81A6-9C90-4371-90B6-73646AA8DF7E}" destId="{46B3C61C-66CE-4D24-A32D-939D3F1B55E2}" srcOrd="1" destOrd="0" presId="urn:microsoft.com/office/officeart/2005/8/layout/hierarchy2"/>
    <dgm:cxn modelId="{C896F0FD-4C46-4B8A-8422-FF7681516244}" type="presOf" srcId="{6D03C73E-0BD6-4FBE-A6C4-5613C5A50F0B}" destId="{4CFE4E59-D826-4142-9ACF-22F265BE0D67}" srcOrd="0" destOrd="0" presId="urn:microsoft.com/office/officeart/2005/8/layout/hierarchy2"/>
    <dgm:cxn modelId="{08AC9726-24D5-4AF4-9F05-214FB8148323}" type="presParOf" srcId="{D9B3E4F1-252E-4B2D-B382-A069D89249C0}" destId="{EF73FF8D-9A07-48E1-BA01-49A8C8B545B7}" srcOrd="0" destOrd="0" presId="urn:microsoft.com/office/officeart/2005/8/layout/hierarchy2"/>
    <dgm:cxn modelId="{BDC842F8-B5DE-4AB2-9F96-344D00E103E1}" type="presParOf" srcId="{EF73FF8D-9A07-48E1-BA01-49A8C8B545B7}" destId="{6D1B5028-DD57-45EB-B3DC-BF698F36990B}" srcOrd="0" destOrd="0" presId="urn:microsoft.com/office/officeart/2005/8/layout/hierarchy2"/>
    <dgm:cxn modelId="{4F89661A-BB3F-4E70-94E1-1A9AECEB1339}" type="presParOf" srcId="{EF73FF8D-9A07-48E1-BA01-49A8C8B545B7}" destId="{E81C51E5-9211-4AB7-8657-A7DB91785FA1}" srcOrd="1" destOrd="0" presId="urn:microsoft.com/office/officeart/2005/8/layout/hierarchy2"/>
    <dgm:cxn modelId="{2CCF748F-30B9-415F-9E3D-AD5751B90576}" type="presParOf" srcId="{E81C51E5-9211-4AB7-8657-A7DB91785FA1}" destId="{6393710A-3538-4735-BE76-9652413454FD}" srcOrd="0" destOrd="0" presId="urn:microsoft.com/office/officeart/2005/8/layout/hierarchy2"/>
    <dgm:cxn modelId="{855B0826-C9BB-428C-B87D-13797382B62D}" type="presParOf" srcId="{6393710A-3538-4735-BE76-9652413454FD}" destId="{7D5868BA-9DB3-4248-AC35-BAF5E5100DF3}" srcOrd="0" destOrd="0" presId="urn:microsoft.com/office/officeart/2005/8/layout/hierarchy2"/>
    <dgm:cxn modelId="{027F8904-4BE3-4188-8F82-BB5286609E21}" type="presParOf" srcId="{E81C51E5-9211-4AB7-8657-A7DB91785FA1}" destId="{CDD477AB-32ED-4D52-84AC-F72ED204EB24}" srcOrd="1" destOrd="0" presId="urn:microsoft.com/office/officeart/2005/8/layout/hierarchy2"/>
    <dgm:cxn modelId="{15BE2443-BBB2-477D-BCBC-59A029739E60}" type="presParOf" srcId="{CDD477AB-32ED-4D52-84AC-F72ED204EB24}" destId="{2A84C543-9264-4D38-93DC-094C8E3E1E77}" srcOrd="0" destOrd="0" presId="urn:microsoft.com/office/officeart/2005/8/layout/hierarchy2"/>
    <dgm:cxn modelId="{B6287454-77D0-4E15-AFA9-A2A57B57DC9C}" type="presParOf" srcId="{CDD477AB-32ED-4D52-84AC-F72ED204EB24}" destId="{DBA124E3-150D-4551-889D-8D93BBA4BE46}" srcOrd="1" destOrd="0" presId="urn:microsoft.com/office/officeart/2005/8/layout/hierarchy2"/>
    <dgm:cxn modelId="{E2ADD19C-C605-4913-88CA-C84814D9C7F8}" type="presParOf" srcId="{DBA124E3-150D-4551-889D-8D93BBA4BE46}" destId="{6948337D-53D0-4027-9CA2-37638A772596}" srcOrd="0" destOrd="0" presId="urn:microsoft.com/office/officeart/2005/8/layout/hierarchy2"/>
    <dgm:cxn modelId="{238DE37B-36D6-4F33-BDCE-D86BFFEA27C4}" type="presParOf" srcId="{6948337D-53D0-4027-9CA2-37638A772596}" destId="{5C2984E9-40F9-44F7-86C7-7615A7383676}" srcOrd="0" destOrd="0" presId="urn:microsoft.com/office/officeart/2005/8/layout/hierarchy2"/>
    <dgm:cxn modelId="{9B0130E3-2023-453F-AC03-D10209498169}" type="presParOf" srcId="{DBA124E3-150D-4551-889D-8D93BBA4BE46}" destId="{AF02B131-D8AD-492C-8842-743E0109090B}" srcOrd="1" destOrd="0" presId="urn:microsoft.com/office/officeart/2005/8/layout/hierarchy2"/>
    <dgm:cxn modelId="{B1FA22AF-665A-434D-BD04-CCFD370A386C}" type="presParOf" srcId="{AF02B131-D8AD-492C-8842-743E0109090B}" destId="{70BFE8DE-26E9-4B4F-91AB-F4E276392F40}" srcOrd="0" destOrd="0" presId="urn:microsoft.com/office/officeart/2005/8/layout/hierarchy2"/>
    <dgm:cxn modelId="{3C416E69-D4EF-4152-97D4-16A31DCE3076}" type="presParOf" srcId="{AF02B131-D8AD-492C-8842-743E0109090B}" destId="{F00F0259-162D-41D3-994C-157BA6E4DD33}" srcOrd="1" destOrd="0" presId="urn:microsoft.com/office/officeart/2005/8/layout/hierarchy2"/>
    <dgm:cxn modelId="{698A1A75-A8EB-47F5-9213-CE85E3CB17DF}" type="presParOf" srcId="{F00F0259-162D-41D3-994C-157BA6E4DD33}" destId="{4A3177D4-A07C-4556-85CC-3DBFA31A126C}" srcOrd="0" destOrd="0" presId="urn:microsoft.com/office/officeart/2005/8/layout/hierarchy2"/>
    <dgm:cxn modelId="{1C6A4F25-1426-4C09-9F7C-7270705991A5}" type="presParOf" srcId="{4A3177D4-A07C-4556-85CC-3DBFA31A126C}" destId="{9F6329F8-56A0-44EB-B0B5-00D4DAF10C2E}" srcOrd="0" destOrd="0" presId="urn:microsoft.com/office/officeart/2005/8/layout/hierarchy2"/>
    <dgm:cxn modelId="{E427FA82-2652-4F89-B7AC-054DF1A3DB43}" type="presParOf" srcId="{F00F0259-162D-41D3-994C-157BA6E4DD33}" destId="{365D89ED-0754-4C16-B065-579655C66A45}" srcOrd="1" destOrd="0" presId="urn:microsoft.com/office/officeart/2005/8/layout/hierarchy2"/>
    <dgm:cxn modelId="{E92300D7-0B3C-4F87-843A-EFFD41A4C532}" type="presParOf" srcId="{365D89ED-0754-4C16-B065-579655C66A45}" destId="{4CFE4E59-D826-4142-9ACF-22F265BE0D67}" srcOrd="0" destOrd="0" presId="urn:microsoft.com/office/officeart/2005/8/layout/hierarchy2"/>
    <dgm:cxn modelId="{02FE7AC3-16AE-45CA-BF34-AABAC0A000A9}" type="presParOf" srcId="{365D89ED-0754-4C16-B065-579655C66A45}" destId="{8A92C02C-2DC8-4ACD-AF08-BD2035DAF8F0}" srcOrd="1" destOrd="0" presId="urn:microsoft.com/office/officeart/2005/8/layout/hierarchy2"/>
    <dgm:cxn modelId="{22A6671A-5126-4A9F-B227-663F2B9655FD}" type="presParOf" srcId="{8A92C02C-2DC8-4ACD-AF08-BD2035DAF8F0}" destId="{963ED822-7448-476C-8265-6254FF5795FF}" srcOrd="0" destOrd="0" presId="urn:microsoft.com/office/officeart/2005/8/layout/hierarchy2"/>
    <dgm:cxn modelId="{253D0731-BF2A-42D8-B3E5-CDF1F21109CE}" type="presParOf" srcId="{963ED822-7448-476C-8265-6254FF5795FF}" destId="{5F2E5195-7A83-4DCB-A3C7-7F2F5C0B3F04}" srcOrd="0" destOrd="0" presId="urn:microsoft.com/office/officeart/2005/8/layout/hierarchy2"/>
    <dgm:cxn modelId="{87A85EAF-3975-4687-8A39-FE3BFF175018}" type="presParOf" srcId="{8A92C02C-2DC8-4ACD-AF08-BD2035DAF8F0}" destId="{F3AE1EBD-07A5-4761-BD79-0948A5C45B4C}" srcOrd="1" destOrd="0" presId="urn:microsoft.com/office/officeart/2005/8/layout/hierarchy2"/>
    <dgm:cxn modelId="{81166681-2FF3-4C41-B2A3-465A0CC61A0A}" type="presParOf" srcId="{F3AE1EBD-07A5-4761-BD79-0948A5C45B4C}" destId="{F827C84D-C902-4043-A584-5B94C7A5E400}" srcOrd="0" destOrd="0" presId="urn:microsoft.com/office/officeart/2005/8/layout/hierarchy2"/>
    <dgm:cxn modelId="{B95E076F-A4A7-4234-9D16-4A9615C4FF74}" type="presParOf" srcId="{F3AE1EBD-07A5-4761-BD79-0948A5C45B4C}" destId="{1B6ABE72-09C4-4292-8BFC-0170A5FDA156}" srcOrd="1" destOrd="0" presId="urn:microsoft.com/office/officeart/2005/8/layout/hierarchy2"/>
    <dgm:cxn modelId="{D49A163E-B064-46C4-A301-192D62CCED25}" type="presParOf" srcId="{8A92C02C-2DC8-4ACD-AF08-BD2035DAF8F0}" destId="{05D8B696-2275-490A-A07C-1B2E4A459329}" srcOrd="2" destOrd="0" presId="urn:microsoft.com/office/officeart/2005/8/layout/hierarchy2"/>
    <dgm:cxn modelId="{B3B59015-D1E2-4658-A656-A4C6407B504D}" type="presParOf" srcId="{05D8B696-2275-490A-A07C-1B2E4A459329}" destId="{3B11EF34-D297-4CBD-BAB5-6FC6BDB99534}" srcOrd="0" destOrd="0" presId="urn:microsoft.com/office/officeart/2005/8/layout/hierarchy2"/>
    <dgm:cxn modelId="{3404065E-7D50-4E7A-A340-AAC047B593A2}" type="presParOf" srcId="{8A92C02C-2DC8-4ACD-AF08-BD2035DAF8F0}" destId="{89FB7AB6-4A97-49E5-86A7-8DD23647E80D}" srcOrd="3" destOrd="0" presId="urn:microsoft.com/office/officeart/2005/8/layout/hierarchy2"/>
    <dgm:cxn modelId="{B4E3EA9A-704C-4C61-B171-810D3FB7D21C}" type="presParOf" srcId="{89FB7AB6-4A97-49E5-86A7-8DD23647E80D}" destId="{BB46E006-0E18-43B9-987A-9C21921EDD06}" srcOrd="0" destOrd="0" presId="urn:microsoft.com/office/officeart/2005/8/layout/hierarchy2"/>
    <dgm:cxn modelId="{FCAD3917-6A2F-4D30-9AA9-6F7092EE61C9}" type="presParOf" srcId="{89FB7AB6-4A97-49E5-86A7-8DD23647E80D}" destId="{BC062D7E-C380-4506-B444-044F777181D2}" srcOrd="1" destOrd="0" presId="urn:microsoft.com/office/officeart/2005/8/layout/hierarchy2"/>
    <dgm:cxn modelId="{2BF8B1B3-FA14-4D9E-9FD0-C85379057A2B}" type="presParOf" srcId="{F00F0259-162D-41D3-994C-157BA6E4DD33}" destId="{D81B599E-14A9-4109-9B16-39AD9E1E54C2}" srcOrd="2" destOrd="0" presId="urn:microsoft.com/office/officeart/2005/8/layout/hierarchy2"/>
    <dgm:cxn modelId="{AFB645C0-D6DE-4812-ADDC-C6EF3DB17F00}" type="presParOf" srcId="{D81B599E-14A9-4109-9B16-39AD9E1E54C2}" destId="{62CBE712-4967-4A87-BF0E-A98CECC4AB06}" srcOrd="0" destOrd="0" presId="urn:microsoft.com/office/officeart/2005/8/layout/hierarchy2"/>
    <dgm:cxn modelId="{9926C728-7584-4BCF-B43D-A3A830782B51}" type="presParOf" srcId="{F00F0259-162D-41D3-994C-157BA6E4DD33}" destId="{0AD66AF7-056D-454F-BB50-4762C325A99B}" srcOrd="3" destOrd="0" presId="urn:microsoft.com/office/officeart/2005/8/layout/hierarchy2"/>
    <dgm:cxn modelId="{FF36DBAA-C4A8-4C85-99BF-52745CA27E74}" type="presParOf" srcId="{0AD66AF7-056D-454F-BB50-4762C325A99B}" destId="{8DC202F6-6D8F-459D-8D53-3BF10E2A834E}" srcOrd="0" destOrd="0" presId="urn:microsoft.com/office/officeart/2005/8/layout/hierarchy2"/>
    <dgm:cxn modelId="{0A7BF5CE-DC2C-4A2E-A676-A4FA08A05293}" type="presParOf" srcId="{0AD66AF7-056D-454F-BB50-4762C325A99B}" destId="{462F32A5-D326-4012-A688-CA38077B5F45}" srcOrd="1" destOrd="0" presId="urn:microsoft.com/office/officeart/2005/8/layout/hierarchy2"/>
    <dgm:cxn modelId="{102E2B0E-88CF-44EA-967F-F1A267B9EE35}" type="presParOf" srcId="{462F32A5-D326-4012-A688-CA38077B5F45}" destId="{3F6C3E3D-82C9-41F6-B77F-AA4ECF3CB349}" srcOrd="0" destOrd="0" presId="urn:microsoft.com/office/officeart/2005/8/layout/hierarchy2"/>
    <dgm:cxn modelId="{DA23DCC1-1D95-4111-BEBE-AABE55E63B2D}" type="presParOf" srcId="{3F6C3E3D-82C9-41F6-B77F-AA4ECF3CB349}" destId="{46B3C61C-66CE-4D24-A32D-939D3F1B55E2}" srcOrd="0" destOrd="0" presId="urn:microsoft.com/office/officeart/2005/8/layout/hierarchy2"/>
    <dgm:cxn modelId="{7C5D7E5D-2407-49A5-969B-0DA43B4914AE}" type="presParOf" srcId="{462F32A5-D326-4012-A688-CA38077B5F45}" destId="{7201E2A3-B9CD-4810-B27B-A3F0B99F406D}" srcOrd="1" destOrd="0" presId="urn:microsoft.com/office/officeart/2005/8/layout/hierarchy2"/>
    <dgm:cxn modelId="{B158A64E-7425-488C-9617-A2DE25938D73}" type="presParOf" srcId="{7201E2A3-B9CD-4810-B27B-A3F0B99F406D}" destId="{B0F2771C-2A2F-4C4A-A072-228E564D53C3}" srcOrd="0" destOrd="0" presId="urn:microsoft.com/office/officeart/2005/8/layout/hierarchy2"/>
    <dgm:cxn modelId="{C1DB97C7-B56F-4B2E-9BA5-67C01F90B1B0}" type="presParOf" srcId="{7201E2A3-B9CD-4810-B27B-A3F0B99F406D}" destId="{0C90373E-8D8A-488C-A181-81129EA06653}" srcOrd="1" destOrd="0" presId="urn:microsoft.com/office/officeart/2005/8/layout/hierarchy2"/>
    <dgm:cxn modelId="{A0F55189-B0DA-457E-829E-CD26B1CA37C3}" type="presParOf" srcId="{462F32A5-D326-4012-A688-CA38077B5F45}" destId="{7BAD0C93-37D1-42C2-8D8D-9B0F78CB5556}" srcOrd="2" destOrd="0" presId="urn:microsoft.com/office/officeart/2005/8/layout/hierarchy2"/>
    <dgm:cxn modelId="{B363B26F-C46C-4AF0-862F-0369C38CADF3}" type="presParOf" srcId="{7BAD0C93-37D1-42C2-8D8D-9B0F78CB5556}" destId="{F89126FF-619A-427F-8F14-57493EB5986A}" srcOrd="0" destOrd="0" presId="urn:microsoft.com/office/officeart/2005/8/layout/hierarchy2"/>
    <dgm:cxn modelId="{0199EC24-45C8-44CC-B1A9-0BD60BC32D38}" type="presParOf" srcId="{462F32A5-D326-4012-A688-CA38077B5F45}" destId="{64EC3645-7CF8-4AB3-BAE3-D562D5C60363}" srcOrd="3" destOrd="0" presId="urn:microsoft.com/office/officeart/2005/8/layout/hierarchy2"/>
    <dgm:cxn modelId="{0EE22112-40B0-4951-91F1-813C12B4D676}" type="presParOf" srcId="{64EC3645-7CF8-4AB3-BAE3-D562D5C60363}" destId="{4F81ADDC-AFC4-4887-B52D-D0F8037DD4C6}" srcOrd="0" destOrd="0" presId="urn:microsoft.com/office/officeart/2005/8/layout/hierarchy2"/>
    <dgm:cxn modelId="{0E0D2434-54FC-4384-A5DA-996EEA030504}" type="presParOf" srcId="{64EC3645-7CF8-4AB3-BAE3-D562D5C60363}" destId="{1C5B7BCF-0B68-4CDC-89E9-AAB8A1F56721}" srcOrd="1" destOrd="0" presId="urn:microsoft.com/office/officeart/2005/8/layout/hierarchy2"/>
    <dgm:cxn modelId="{330601A5-4CE4-40CA-9918-8C79E55801CC}" type="presParOf" srcId="{462F32A5-D326-4012-A688-CA38077B5F45}" destId="{6959F93E-D90E-4EF2-B96A-4085B4048925}" srcOrd="4" destOrd="0" presId="urn:microsoft.com/office/officeart/2005/8/layout/hierarchy2"/>
    <dgm:cxn modelId="{5E018DAD-2D36-4B6D-912C-B0EFB6250CE5}" type="presParOf" srcId="{6959F93E-D90E-4EF2-B96A-4085B4048925}" destId="{FB710543-B89B-4D0C-A319-5F3FBBF12C78}" srcOrd="0" destOrd="0" presId="urn:microsoft.com/office/officeart/2005/8/layout/hierarchy2"/>
    <dgm:cxn modelId="{09F01786-2E41-469E-A5D5-419CC09F5CC9}" type="presParOf" srcId="{462F32A5-D326-4012-A688-CA38077B5F45}" destId="{1A4DDE63-FDD5-4360-A639-2583D9D1C242}" srcOrd="5" destOrd="0" presId="urn:microsoft.com/office/officeart/2005/8/layout/hierarchy2"/>
    <dgm:cxn modelId="{222154FC-FA5D-4E39-BE67-584C4C8E1FA5}" type="presParOf" srcId="{1A4DDE63-FDD5-4360-A639-2583D9D1C242}" destId="{DCE3B560-6DBC-4DC3-9F44-278D92FF2DAB}" srcOrd="0" destOrd="0" presId="urn:microsoft.com/office/officeart/2005/8/layout/hierarchy2"/>
    <dgm:cxn modelId="{0C5367AB-3472-457B-99F8-076B7F0E746E}" type="presParOf" srcId="{1A4DDE63-FDD5-4360-A639-2583D9D1C242}" destId="{276DBDAD-26FA-4C46-9DD0-C3841A9F76D4}" srcOrd="1" destOrd="0" presId="urn:microsoft.com/office/officeart/2005/8/layout/hierarchy2"/>
    <dgm:cxn modelId="{10DF8187-31E5-4C9B-9A0C-1E10835A23BB}" type="presParOf" srcId="{462F32A5-D326-4012-A688-CA38077B5F45}" destId="{58BA20ED-3FB3-4CA7-9406-4D764C27463D}" srcOrd="6" destOrd="0" presId="urn:microsoft.com/office/officeart/2005/8/layout/hierarchy2"/>
    <dgm:cxn modelId="{81CA0204-D6CC-4FD7-8A77-473EFF142DFD}" type="presParOf" srcId="{58BA20ED-3FB3-4CA7-9406-4D764C27463D}" destId="{BA7B4D69-C97D-4B35-B7DF-E5EF99AC551E}" srcOrd="0" destOrd="0" presId="urn:microsoft.com/office/officeart/2005/8/layout/hierarchy2"/>
    <dgm:cxn modelId="{9AA9B93E-376F-4980-A28C-12544F9EE28D}" type="presParOf" srcId="{462F32A5-D326-4012-A688-CA38077B5F45}" destId="{9ACC887F-A17C-4CEE-B691-A0DF625A048E}" srcOrd="7" destOrd="0" presId="urn:microsoft.com/office/officeart/2005/8/layout/hierarchy2"/>
    <dgm:cxn modelId="{C13FC029-C118-4E6B-905B-6DC5278FF905}" type="presParOf" srcId="{9ACC887F-A17C-4CEE-B691-A0DF625A048E}" destId="{D2E4C2E4-CEEF-4525-9491-E20F646DC36E}" srcOrd="0" destOrd="0" presId="urn:microsoft.com/office/officeart/2005/8/layout/hierarchy2"/>
    <dgm:cxn modelId="{D72E3376-CC59-42BD-964A-0A373D7D12A8}" type="presParOf" srcId="{9ACC887F-A17C-4CEE-B691-A0DF625A048E}" destId="{96A31EF5-CD6B-40C9-B3EC-D1DC0B982F55}" srcOrd="1" destOrd="0" presId="urn:microsoft.com/office/officeart/2005/8/layout/hierarchy2"/>
    <dgm:cxn modelId="{83262DA0-3A99-4C11-9D20-DCE34A08A673}" type="presParOf" srcId="{462F32A5-D326-4012-A688-CA38077B5F45}" destId="{BCFF733B-90D8-4429-AA02-7D364C621FF5}" srcOrd="8" destOrd="0" presId="urn:microsoft.com/office/officeart/2005/8/layout/hierarchy2"/>
    <dgm:cxn modelId="{DF92175A-D64A-465D-9D07-65588B66D538}" type="presParOf" srcId="{BCFF733B-90D8-4429-AA02-7D364C621FF5}" destId="{D1632930-41A5-4089-A09A-756D6D43695E}" srcOrd="0" destOrd="0" presId="urn:microsoft.com/office/officeart/2005/8/layout/hierarchy2"/>
    <dgm:cxn modelId="{E634FCDB-C0E8-4491-98B7-9652CC82FC6F}" type="presParOf" srcId="{462F32A5-D326-4012-A688-CA38077B5F45}" destId="{AB18B543-7246-4935-9405-13237DB8EB3E}" srcOrd="9" destOrd="0" presId="urn:microsoft.com/office/officeart/2005/8/layout/hierarchy2"/>
    <dgm:cxn modelId="{EDF21E7B-CE3B-42E0-B6BC-DF2CA18AFE7D}" type="presParOf" srcId="{AB18B543-7246-4935-9405-13237DB8EB3E}" destId="{DDFCFB6A-AAC9-4B91-8D00-51B1F10CD0C4}" srcOrd="0" destOrd="0" presId="urn:microsoft.com/office/officeart/2005/8/layout/hierarchy2"/>
    <dgm:cxn modelId="{A00D45E6-DFB3-4022-8A28-9C20DF3357D9}" type="presParOf" srcId="{AB18B543-7246-4935-9405-13237DB8EB3E}" destId="{21460167-E8A8-47B5-A481-C81B116E03E6}" srcOrd="1" destOrd="0" presId="urn:microsoft.com/office/officeart/2005/8/layout/hierarchy2"/>
    <dgm:cxn modelId="{7E64EE8E-5CCA-4EF1-98A4-0F427C45349D}" type="presParOf" srcId="{DBA124E3-150D-4551-889D-8D93BBA4BE46}" destId="{856C8BCC-F2AB-499C-9564-97A9C2C3EF5D}" srcOrd="2" destOrd="0" presId="urn:microsoft.com/office/officeart/2005/8/layout/hierarchy2"/>
    <dgm:cxn modelId="{EFE96098-5FE1-43BA-ABC0-E3605F15F5D4}" type="presParOf" srcId="{856C8BCC-F2AB-499C-9564-97A9C2C3EF5D}" destId="{1C98A8A8-E7C3-4816-9DC0-E722597FC2B8}" srcOrd="0" destOrd="0" presId="urn:microsoft.com/office/officeart/2005/8/layout/hierarchy2"/>
    <dgm:cxn modelId="{8DE977EA-08F8-411F-82CC-C3BEEA5469A3}" type="presParOf" srcId="{DBA124E3-150D-4551-889D-8D93BBA4BE46}" destId="{53F414BB-0939-4C83-ABE8-8A7120AACCF3}" srcOrd="3" destOrd="0" presId="urn:microsoft.com/office/officeart/2005/8/layout/hierarchy2"/>
    <dgm:cxn modelId="{A7361446-437C-4200-BEAB-4866D301CFF2}" type="presParOf" srcId="{53F414BB-0939-4C83-ABE8-8A7120AACCF3}" destId="{804DB137-ED63-45DC-9AEE-BFCCF1D8DB96}" srcOrd="0" destOrd="0" presId="urn:microsoft.com/office/officeart/2005/8/layout/hierarchy2"/>
    <dgm:cxn modelId="{128439DD-2F07-4912-BFE3-FE7FC339F54F}" type="presParOf" srcId="{53F414BB-0939-4C83-ABE8-8A7120AACCF3}" destId="{4FA9EE24-F56A-40CB-BC97-20BEBB082FE4}" srcOrd="1" destOrd="0" presId="urn:microsoft.com/office/officeart/2005/8/layout/hierarchy2"/>
    <dgm:cxn modelId="{CEE45F5E-B054-4934-9EAA-B470F7B46F27}" type="presParOf" srcId="{E81C51E5-9211-4AB7-8657-A7DB91785FA1}" destId="{C4177019-5465-4C4E-A405-88BF7961DEE7}" srcOrd="2" destOrd="0" presId="urn:microsoft.com/office/officeart/2005/8/layout/hierarchy2"/>
    <dgm:cxn modelId="{70267542-04C0-47F8-90AF-9050CF80B2E0}" type="presParOf" srcId="{C4177019-5465-4C4E-A405-88BF7961DEE7}" destId="{B58A830A-DD47-4596-A63E-15EB748F7EEB}" srcOrd="0" destOrd="0" presId="urn:microsoft.com/office/officeart/2005/8/layout/hierarchy2"/>
    <dgm:cxn modelId="{D6697C0A-32F0-4B55-BC4A-9906B2C1A71B}" type="presParOf" srcId="{E81C51E5-9211-4AB7-8657-A7DB91785FA1}" destId="{BB44D23B-6B4A-4B87-AFFD-E633D84CDB97}" srcOrd="3" destOrd="0" presId="urn:microsoft.com/office/officeart/2005/8/layout/hierarchy2"/>
    <dgm:cxn modelId="{37C566C5-C4CF-45C6-925A-7B58C37B92DD}" type="presParOf" srcId="{BB44D23B-6B4A-4B87-AFFD-E633D84CDB97}" destId="{8B173059-1616-4E46-AD8B-85FF24588ACA}" srcOrd="0" destOrd="0" presId="urn:microsoft.com/office/officeart/2005/8/layout/hierarchy2"/>
    <dgm:cxn modelId="{700F4588-4C64-4B38-B6BA-CD0A4153A212}" type="presParOf" srcId="{BB44D23B-6B4A-4B87-AFFD-E633D84CDB97}" destId="{EF51C971-FFED-4F31-A3BB-705CDFC39634}" srcOrd="1" destOrd="0" presId="urn:microsoft.com/office/officeart/2005/8/layout/hierarchy2"/>
    <dgm:cxn modelId="{E6CFC6A2-7400-4DDA-82F7-98DC887B84A1}" type="presParOf" srcId="{EF51C971-FFED-4F31-A3BB-705CDFC39634}" destId="{3D259EB4-A053-44F0-A4C2-AB5DC63C1546}" srcOrd="0" destOrd="0" presId="urn:microsoft.com/office/officeart/2005/8/layout/hierarchy2"/>
    <dgm:cxn modelId="{C8E1E6B3-66E8-4BF8-8175-F02C6796C675}" type="presParOf" srcId="{3D259EB4-A053-44F0-A4C2-AB5DC63C1546}" destId="{007076AB-9B71-4E0A-AA8A-767BBF0C6DCB}" srcOrd="0" destOrd="0" presId="urn:microsoft.com/office/officeart/2005/8/layout/hierarchy2"/>
    <dgm:cxn modelId="{989DA8E8-5D23-4091-BC2A-4FA8CBD74F33}" type="presParOf" srcId="{EF51C971-FFED-4F31-A3BB-705CDFC39634}" destId="{CEF62B93-A22E-45E2-ADE9-69EFC600DBE3}" srcOrd="1" destOrd="0" presId="urn:microsoft.com/office/officeart/2005/8/layout/hierarchy2"/>
    <dgm:cxn modelId="{203486F5-B71C-4AB3-812F-C5B19D2DDFA2}" type="presParOf" srcId="{CEF62B93-A22E-45E2-ADE9-69EFC600DBE3}" destId="{B6655EB9-089A-4E8A-B11B-4620746F5015}" srcOrd="0" destOrd="0" presId="urn:microsoft.com/office/officeart/2005/8/layout/hierarchy2"/>
    <dgm:cxn modelId="{11C47BDB-788F-47BB-96C0-03E1B2889B9E}" type="presParOf" srcId="{CEF62B93-A22E-45E2-ADE9-69EFC600DBE3}" destId="{81E4E535-82CD-4132-B963-357F6C38F0AB}" srcOrd="1" destOrd="0" presId="urn:microsoft.com/office/officeart/2005/8/layout/hierarchy2"/>
    <dgm:cxn modelId="{FA4E85D9-907A-4D08-9B48-1A05961E996E}" type="presParOf" srcId="{EF51C971-FFED-4F31-A3BB-705CDFC39634}" destId="{9ACEDA89-1D8D-439A-A484-B4501F0197BD}" srcOrd="2" destOrd="0" presId="urn:microsoft.com/office/officeart/2005/8/layout/hierarchy2"/>
    <dgm:cxn modelId="{C679CD29-933D-4ACE-AF43-A801A3A2F978}" type="presParOf" srcId="{9ACEDA89-1D8D-439A-A484-B4501F0197BD}" destId="{D98E2484-E99C-4E86-B04F-84C3F1EB980B}" srcOrd="0" destOrd="0" presId="urn:microsoft.com/office/officeart/2005/8/layout/hierarchy2"/>
    <dgm:cxn modelId="{C21B883E-1C08-4B6C-BC7B-62E7AD3C14A7}" type="presParOf" srcId="{EF51C971-FFED-4F31-A3BB-705CDFC39634}" destId="{59058BC2-3126-43E0-A83D-2EF06677FDC9}" srcOrd="3" destOrd="0" presId="urn:microsoft.com/office/officeart/2005/8/layout/hierarchy2"/>
    <dgm:cxn modelId="{0843B38A-A187-4F16-B6DB-9FF759B87A66}" type="presParOf" srcId="{59058BC2-3126-43E0-A83D-2EF06677FDC9}" destId="{E6C1B7B3-3911-4A09-85E4-707C414FCE8D}" srcOrd="0" destOrd="0" presId="urn:microsoft.com/office/officeart/2005/8/layout/hierarchy2"/>
    <dgm:cxn modelId="{8D1A242D-5C01-411B-AEBC-83190432FDCA}" type="presParOf" srcId="{59058BC2-3126-43E0-A83D-2EF06677FDC9}" destId="{4EE2530B-2BB9-4DA1-ACBB-4BECDA812D4A}" srcOrd="1" destOrd="0" presId="urn:microsoft.com/office/officeart/2005/8/layout/hierarchy2"/>
    <dgm:cxn modelId="{1F5CC9A3-85FE-46AC-84DE-BD8B7CBC57FE}" type="presParOf" srcId="{EF51C971-FFED-4F31-A3BB-705CDFC39634}" destId="{F1288B3B-959F-401F-B1A9-0E810A3656E5}" srcOrd="4" destOrd="0" presId="urn:microsoft.com/office/officeart/2005/8/layout/hierarchy2"/>
    <dgm:cxn modelId="{A04A9B59-6D65-4A4E-9462-9AA085C80618}" type="presParOf" srcId="{F1288B3B-959F-401F-B1A9-0E810A3656E5}" destId="{23C07519-A0A5-4520-854A-7132E549E3BC}" srcOrd="0" destOrd="0" presId="urn:microsoft.com/office/officeart/2005/8/layout/hierarchy2"/>
    <dgm:cxn modelId="{3DE8B910-D44C-4BD6-9DCF-45745DE30E4F}" type="presParOf" srcId="{EF51C971-FFED-4F31-A3BB-705CDFC39634}" destId="{FDABCCC6-3444-4D6D-A2A9-46B20A847648}" srcOrd="5" destOrd="0" presId="urn:microsoft.com/office/officeart/2005/8/layout/hierarchy2"/>
    <dgm:cxn modelId="{A3A21253-0336-4D2B-8ECD-01F76D136CFC}" type="presParOf" srcId="{FDABCCC6-3444-4D6D-A2A9-46B20A847648}" destId="{C7321DF5-EFA7-4D12-8FF3-76E53A659D1C}" srcOrd="0" destOrd="0" presId="urn:microsoft.com/office/officeart/2005/8/layout/hierarchy2"/>
    <dgm:cxn modelId="{1A708F23-81C2-4D52-850B-68FB66556800}" type="presParOf" srcId="{FDABCCC6-3444-4D6D-A2A9-46B20A847648}" destId="{17D766A3-5907-45D2-822A-23D645294608}"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1B5028-DD57-45EB-B3DC-BF698F36990B}">
      <dsp:nvSpPr>
        <dsp:cNvPr id="0" name=""/>
        <dsp:cNvSpPr/>
      </dsp:nvSpPr>
      <dsp:spPr>
        <a:xfrm>
          <a:off x="151366" y="1651893"/>
          <a:ext cx="717863" cy="35893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Dispute Resolution </a:t>
          </a:r>
        </a:p>
      </dsp:txBody>
      <dsp:txXfrm>
        <a:off x="161879" y="1662406"/>
        <a:ext cx="696837" cy="337905"/>
      </dsp:txXfrm>
    </dsp:sp>
    <dsp:sp modelId="{6393710A-3538-4735-BE76-9652413454FD}">
      <dsp:nvSpPr>
        <dsp:cNvPr id="0" name=""/>
        <dsp:cNvSpPr/>
      </dsp:nvSpPr>
      <dsp:spPr>
        <a:xfrm rot="17945813">
          <a:off x="717560" y="1562390"/>
          <a:ext cx="590484" cy="21972"/>
        </a:xfrm>
        <a:custGeom>
          <a:avLst/>
          <a:gdLst/>
          <a:ahLst/>
          <a:cxnLst/>
          <a:rect l="0" t="0" r="0" b="0"/>
          <a:pathLst>
            <a:path>
              <a:moveTo>
                <a:pt x="0" y="10986"/>
              </a:moveTo>
              <a:lnTo>
                <a:pt x="590484" y="1098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998040" y="1558614"/>
        <a:ext cx="29524" cy="29524"/>
      </dsp:txXfrm>
    </dsp:sp>
    <dsp:sp modelId="{2A84C543-9264-4D38-93DC-094C8E3E1E77}">
      <dsp:nvSpPr>
        <dsp:cNvPr id="0" name=""/>
        <dsp:cNvSpPr/>
      </dsp:nvSpPr>
      <dsp:spPr>
        <a:xfrm>
          <a:off x="1156374" y="1135928"/>
          <a:ext cx="717863" cy="35893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Indonesian Law</a:t>
          </a:r>
        </a:p>
      </dsp:txBody>
      <dsp:txXfrm>
        <a:off x="1166887" y="1146441"/>
        <a:ext cx="696837" cy="337905"/>
      </dsp:txXfrm>
    </dsp:sp>
    <dsp:sp modelId="{6948337D-53D0-4027-9CA2-37638A772596}">
      <dsp:nvSpPr>
        <dsp:cNvPr id="0" name=""/>
        <dsp:cNvSpPr/>
      </dsp:nvSpPr>
      <dsp:spPr>
        <a:xfrm rot="19457599">
          <a:off x="1841000" y="1201215"/>
          <a:ext cx="353620" cy="21972"/>
        </a:xfrm>
        <a:custGeom>
          <a:avLst/>
          <a:gdLst/>
          <a:ahLst/>
          <a:cxnLst/>
          <a:rect l="0" t="0" r="0" b="0"/>
          <a:pathLst>
            <a:path>
              <a:moveTo>
                <a:pt x="0" y="10986"/>
              </a:moveTo>
              <a:lnTo>
                <a:pt x="353620" y="1098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2008970" y="1203361"/>
        <a:ext cx="17681" cy="17681"/>
      </dsp:txXfrm>
    </dsp:sp>
    <dsp:sp modelId="{70BFE8DE-26E9-4B4F-91AB-F4E276392F40}">
      <dsp:nvSpPr>
        <dsp:cNvPr id="0" name=""/>
        <dsp:cNvSpPr/>
      </dsp:nvSpPr>
      <dsp:spPr>
        <a:xfrm>
          <a:off x="2161383" y="929543"/>
          <a:ext cx="717863" cy="358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Non-Litigation</a:t>
          </a:r>
        </a:p>
      </dsp:txBody>
      <dsp:txXfrm>
        <a:off x="2171896" y="940056"/>
        <a:ext cx="696837" cy="337905"/>
      </dsp:txXfrm>
    </dsp:sp>
    <dsp:sp modelId="{4A3177D4-A07C-4556-85CC-3DBFA31A126C}">
      <dsp:nvSpPr>
        <dsp:cNvPr id="0" name=""/>
        <dsp:cNvSpPr/>
      </dsp:nvSpPr>
      <dsp:spPr>
        <a:xfrm rot="17500715">
          <a:off x="2634154" y="736847"/>
          <a:ext cx="777329" cy="21972"/>
        </a:xfrm>
        <a:custGeom>
          <a:avLst/>
          <a:gdLst/>
          <a:ahLst/>
          <a:cxnLst/>
          <a:rect l="0" t="0" r="0" b="0"/>
          <a:pathLst>
            <a:path>
              <a:moveTo>
                <a:pt x="0" y="10986"/>
              </a:moveTo>
              <a:lnTo>
                <a:pt x="777329" y="1098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3003386" y="728400"/>
        <a:ext cx="38866" cy="38866"/>
      </dsp:txXfrm>
    </dsp:sp>
    <dsp:sp modelId="{4CFE4E59-D826-4142-9ACF-22F265BE0D67}">
      <dsp:nvSpPr>
        <dsp:cNvPr id="0" name=""/>
        <dsp:cNvSpPr/>
      </dsp:nvSpPr>
      <dsp:spPr>
        <a:xfrm>
          <a:off x="3166391" y="207193"/>
          <a:ext cx="717863" cy="35893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Arbitrage</a:t>
          </a:r>
        </a:p>
      </dsp:txBody>
      <dsp:txXfrm>
        <a:off x="3176904" y="217706"/>
        <a:ext cx="696837" cy="337905"/>
      </dsp:txXfrm>
    </dsp:sp>
    <dsp:sp modelId="{963ED822-7448-476C-8265-6254FF5795FF}">
      <dsp:nvSpPr>
        <dsp:cNvPr id="0" name=""/>
        <dsp:cNvSpPr/>
      </dsp:nvSpPr>
      <dsp:spPr>
        <a:xfrm rot="19457599">
          <a:off x="3851017" y="272479"/>
          <a:ext cx="353620" cy="21972"/>
        </a:xfrm>
        <a:custGeom>
          <a:avLst/>
          <a:gdLst/>
          <a:ahLst/>
          <a:cxnLst/>
          <a:rect l="0" t="0" r="0" b="0"/>
          <a:pathLst>
            <a:path>
              <a:moveTo>
                <a:pt x="0" y="10986"/>
              </a:moveTo>
              <a:lnTo>
                <a:pt x="353620" y="1098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4018987" y="274625"/>
        <a:ext cx="17681" cy="17681"/>
      </dsp:txXfrm>
    </dsp:sp>
    <dsp:sp modelId="{F827C84D-C902-4043-A584-5B94C7A5E400}">
      <dsp:nvSpPr>
        <dsp:cNvPr id="0" name=""/>
        <dsp:cNvSpPr/>
      </dsp:nvSpPr>
      <dsp:spPr>
        <a:xfrm>
          <a:off x="4171400" y="807"/>
          <a:ext cx="717863" cy="35893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BANI</a:t>
          </a:r>
        </a:p>
      </dsp:txBody>
      <dsp:txXfrm>
        <a:off x="4181913" y="11320"/>
        <a:ext cx="696837" cy="337905"/>
      </dsp:txXfrm>
    </dsp:sp>
    <dsp:sp modelId="{05D8B696-2275-490A-A07C-1B2E4A459329}">
      <dsp:nvSpPr>
        <dsp:cNvPr id="0" name=""/>
        <dsp:cNvSpPr/>
      </dsp:nvSpPr>
      <dsp:spPr>
        <a:xfrm rot="2142401">
          <a:off x="3851017" y="478865"/>
          <a:ext cx="353620" cy="21972"/>
        </a:xfrm>
        <a:custGeom>
          <a:avLst/>
          <a:gdLst/>
          <a:ahLst/>
          <a:cxnLst/>
          <a:rect l="0" t="0" r="0" b="0"/>
          <a:pathLst>
            <a:path>
              <a:moveTo>
                <a:pt x="0" y="10986"/>
              </a:moveTo>
              <a:lnTo>
                <a:pt x="353620" y="1098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4018987" y="481011"/>
        <a:ext cx="17681" cy="17681"/>
      </dsp:txXfrm>
    </dsp:sp>
    <dsp:sp modelId="{BB46E006-0E18-43B9-987A-9C21921EDD06}">
      <dsp:nvSpPr>
        <dsp:cNvPr id="0" name=""/>
        <dsp:cNvSpPr/>
      </dsp:nvSpPr>
      <dsp:spPr>
        <a:xfrm>
          <a:off x="4171400" y="413578"/>
          <a:ext cx="717863" cy="35893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BASYARNAS</a:t>
          </a:r>
        </a:p>
      </dsp:txBody>
      <dsp:txXfrm>
        <a:off x="4181913" y="424091"/>
        <a:ext cx="696837" cy="337905"/>
      </dsp:txXfrm>
    </dsp:sp>
    <dsp:sp modelId="{D81B599E-14A9-4109-9B16-39AD9E1E54C2}">
      <dsp:nvSpPr>
        <dsp:cNvPr id="0" name=""/>
        <dsp:cNvSpPr/>
      </dsp:nvSpPr>
      <dsp:spPr>
        <a:xfrm rot="4099285">
          <a:off x="2634154" y="1459197"/>
          <a:ext cx="777329" cy="21972"/>
        </a:xfrm>
        <a:custGeom>
          <a:avLst/>
          <a:gdLst/>
          <a:ahLst/>
          <a:cxnLst/>
          <a:rect l="0" t="0" r="0" b="0"/>
          <a:pathLst>
            <a:path>
              <a:moveTo>
                <a:pt x="0" y="10986"/>
              </a:moveTo>
              <a:lnTo>
                <a:pt x="777329" y="1098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3003386" y="1450750"/>
        <a:ext cx="38866" cy="38866"/>
      </dsp:txXfrm>
    </dsp:sp>
    <dsp:sp modelId="{8DC202F6-6D8F-459D-8D53-3BF10E2A834E}">
      <dsp:nvSpPr>
        <dsp:cNvPr id="0" name=""/>
        <dsp:cNvSpPr/>
      </dsp:nvSpPr>
      <dsp:spPr>
        <a:xfrm>
          <a:off x="3166391" y="1651893"/>
          <a:ext cx="717863" cy="35893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Alternative Dispute Resolution (ADR)</a:t>
          </a:r>
        </a:p>
      </dsp:txBody>
      <dsp:txXfrm>
        <a:off x="3176904" y="1662406"/>
        <a:ext cx="696837" cy="337905"/>
      </dsp:txXfrm>
    </dsp:sp>
    <dsp:sp modelId="{3F6C3E3D-82C9-41F6-B77F-AA4ECF3CB349}">
      <dsp:nvSpPr>
        <dsp:cNvPr id="0" name=""/>
        <dsp:cNvSpPr/>
      </dsp:nvSpPr>
      <dsp:spPr>
        <a:xfrm rot="17350740">
          <a:off x="3590800" y="1407601"/>
          <a:ext cx="874055" cy="21972"/>
        </a:xfrm>
        <a:custGeom>
          <a:avLst/>
          <a:gdLst/>
          <a:ahLst/>
          <a:cxnLst/>
          <a:rect l="0" t="0" r="0" b="0"/>
          <a:pathLst>
            <a:path>
              <a:moveTo>
                <a:pt x="0" y="10986"/>
              </a:moveTo>
              <a:lnTo>
                <a:pt x="874055" y="1098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4005976" y="1396736"/>
        <a:ext cx="43702" cy="43702"/>
      </dsp:txXfrm>
    </dsp:sp>
    <dsp:sp modelId="{B0F2771C-2A2F-4C4A-A072-228E564D53C3}">
      <dsp:nvSpPr>
        <dsp:cNvPr id="0" name=""/>
        <dsp:cNvSpPr/>
      </dsp:nvSpPr>
      <dsp:spPr>
        <a:xfrm>
          <a:off x="4171400" y="826350"/>
          <a:ext cx="717863" cy="35893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Consultation</a:t>
          </a:r>
        </a:p>
      </dsp:txBody>
      <dsp:txXfrm>
        <a:off x="4181913" y="836863"/>
        <a:ext cx="696837" cy="337905"/>
      </dsp:txXfrm>
    </dsp:sp>
    <dsp:sp modelId="{7BAD0C93-37D1-42C2-8D8D-9B0F78CB5556}">
      <dsp:nvSpPr>
        <dsp:cNvPr id="0" name=""/>
        <dsp:cNvSpPr/>
      </dsp:nvSpPr>
      <dsp:spPr>
        <a:xfrm rot="18289469">
          <a:off x="3776415" y="1613986"/>
          <a:ext cx="502824" cy="21972"/>
        </a:xfrm>
        <a:custGeom>
          <a:avLst/>
          <a:gdLst/>
          <a:ahLst/>
          <a:cxnLst/>
          <a:rect l="0" t="0" r="0" b="0"/>
          <a:pathLst>
            <a:path>
              <a:moveTo>
                <a:pt x="0" y="10986"/>
              </a:moveTo>
              <a:lnTo>
                <a:pt x="502824" y="1098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4015257" y="1612402"/>
        <a:ext cx="25141" cy="25141"/>
      </dsp:txXfrm>
    </dsp:sp>
    <dsp:sp modelId="{4F81ADDC-AFC4-4887-B52D-D0F8037DD4C6}">
      <dsp:nvSpPr>
        <dsp:cNvPr id="0" name=""/>
        <dsp:cNvSpPr/>
      </dsp:nvSpPr>
      <dsp:spPr>
        <a:xfrm>
          <a:off x="4171400" y="1239121"/>
          <a:ext cx="717863" cy="35893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Negotiation</a:t>
          </a:r>
        </a:p>
      </dsp:txBody>
      <dsp:txXfrm>
        <a:off x="4181913" y="1249634"/>
        <a:ext cx="696837" cy="337905"/>
      </dsp:txXfrm>
    </dsp:sp>
    <dsp:sp modelId="{6959F93E-D90E-4EF2-B96A-4085B4048925}">
      <dsp:nvSpPr>
        <dsp:cNvPr id="0" name=""/>
        <dsp:cNvSpPr/>
      </dsp:nvSpPr>
      <dsp:spPr>
        <a:xfrm>
          <a:off x="3884255" y="1820372"/>
          <a:ext cx="287145" cy="21972"/>
        </a:xfrm>
        <a:custGeom>
          <a:avLst/>
          <a:gdLst/>
          <a:ahLst/>
          <a:cxnLst/>
          <a:rect l="0" t="0" r="0" b="0"/>
          <a:pathLst>
            <a:path>
              <a:moveTo>
                <a:pt x="0" y="10986"/>
              </a:moveTo>
              <a:lnTo>
                <a:pt x="287145" y="1098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4020649" y="1824180"/>
        <a:ext cx="14357" cy="14357"/>
      </dsp:txXfrm>
    </dsp:sp>
    <dsp:sp modelId="{DCE3B560-6DBC-4DC3-9F44-278D92FF2DAB}">
      <dsp:nvSpPr>
        <dsp:cNvPr id="0" name=""/>
        <dsp:cNvSpPr/>
      </dsp:nvSpPr>
      <dsp:spPr>
        <a:xfrm>
          <a:off x="4171400" y="1651893"/>
          <a:ext cx="717863" cy="35893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Mediation</a:t>
          </a:r>
        </a:p>
      </dsp:txBody>
      <dsp:txXfrm>
        <a:off x="4181913" y="1662406"/>
        <a:ext cx="696837" cy="337905"/>
      </dsp:txXfrm>
    </dsp:sp>
    <dsp:sp modelId="{58BA20ED-3FB3-4CA7-9406-4D764C27463D}">
      <dsp:nvSpPr>
        <dsp:cNvPr id="0" name=""/>
        <dsp:cNvSpPr/>
      </dsp:nvSpPr>
      <dsp:spPr>
        <a:xfrm rot="3310531">
          <a:off x="3776415" y="2026758"/>
          <a:ext cx="502824" cy="21972"/>
        </a:xfrm>
        <a:custGeom>
          <a:avLst/>
          <a:gdLst/>
          <a:ahLst/>
          <a:cxnLst/>
          <a:rect l="0" t="0" r="0" b="0"/>
          <a:pathLst>
            <a:path>
              <a:moveTo>
                <a:pt x="0" y="10986"/>
              </a:moveTo>
              <a:lnTo>
                <a:pt x="502824" y="1098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4015257" y="2025174"/>
        <a:ext cx="25141" cy="25141"/>
      </dsp:txXfrm>
    </dsp:sp>
    <dsp:sp modelId="{D2E4C2E4-CEEF-4525-9491-E20F646DC36E}">
      <dsp:nvSpPr>
        <dsp:cNvPr id="0" name=""/>
        <dsp:cNvSpPr/>
      </dsp:nvSpPr>
      <dsp:spPr>
        <a:xfrm>
          <a:off x="4171400" y="2064664"/>
          <a:ext cx="717863" cy="35893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Conciliation</a:t>
          </a:r>
        </a:p>
      </dsp:txBody>
      <dsp:txXfrm>
        <a:off x="4181913" y="2075177"/>
        <a:ext cx="696837" cy="337905"/>
      </dsp:txXfrm>
    </dsp:sp>
    <dsp:sp modelId="{BCFF733B-90D8-4429-AA02-7D364C621FF5}">
      <dsp:nvSpPr>
        <dsp:cNvPr id="0" name=""/>
        <dsp:cNvSpPr/>
      </dsp:nvSpPr>
      <dsp:spPr>
        <a:xfrm rot="4249260">
          <a:off x="3590800" y="2233144"/>
          <a:ext cx="874055" cy="21972"/>
        </a:xfrm>
        <a:custGeom>
          <a:avLst/>
          <a:gdLst/>
          <a:ahLst/>
          <a:cxnLst/>
          <a:rect l="0" t="0" r="0" b="0"/>
          <a:pathLst>
            <a:path>
              <a:moveTo>
                <a:pt x="0" y="10986"/>
              </a:moveTo>
              <a:lnTo>
                <a:pt x="874055" y="1098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4005976" y="2222278"/>
        <a:ext cx="43702" cy="43702"/>
      </dsp:txXfrm>
    </dsp:sp>
    <dsp:sp modelId="{DDFCFB6A-AAC9-4B91-8D00-51B1F10CD0C4}">
      <dsp:nvSpPr>
        <dsp:cNvPr id="0" name=""/>
        <dsp:cNvSpPr/>
      </dsp:nvSpPr>
      <dsp:spPr>
        <a:xfrm>
          <a:off x="4171400" y="2477435"/>
          <a:ext cx="717863" cy="35893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Expert Opinion</a:t>
          </a:r>
        </a:p>
      </dsp:txBody>
      <dsp:txXfrm>
        <a:off x="4181913" y="2487948"/>
        <a:ext cx="696837" cy="337905"/>
      </dsp:txXfrm>
    </dsp:sp>
    <dsp:sp modelId="{856C8BCC-F2AB-499C-9564-97A9C2C3EF5D}">
      <dsp:nvSpPr>
        <dsp:cNvPr id="0" name=""/>
        <dsp:cNvSpPr/>
      </dsp:nvSpPr>
      <dsp:spPr>
        <a:xfrm rot="2142401">
          <a:off x="1841000" y="1407601"/>
          <a:ext cx="353620" cy="21972"/>
        </a:xfrm>
        <a:custGeom>
          <a:avLst/>
          <a:gdLst/>
          <a:ahLst/>
          <a:cxnLst/>
          <a:rect l="0" t="0" r="0" b="0"/>
          <a:pathLst>
            <a:path>
              <a:moveTo>
                <a:pt x="0" y="10986"/>
              </a:moveTo>
              <a:lnTo>
                <a:pt x="353620" y="1098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2008970" y="1409747"/>
        <a:ext cx="17681" cy="17681"/>
      </dsp:txXfrm>
    </dsp:sp>
    <dsp:sp modelId="{804DB137-ED63-45DC-9AEE-BFCCF1D8DB96}">
      <dsp:nvSpPr>
        <dsp:cNvPr id="0" name=""/>
        <dsp:cNvSpPr/>
      </dsp:nvSpPr>
      <dsp:spPr>
        <a:xfrm>
          <a:off x="2161383" y="1342314"/>
          <a:ext cx="717863" cy="358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Litigation</a:t>
          </a:r>
        </a:p>
      </dsp:txBody>
      <dsp:txXfrm>
        <a:off x="2171896" y="1352827"/>
        <a:ext cx="696837" cy="337905"/>
      </dsp:txXfrm>
    </dsp:sp>
    <dsp:sp modelId="{C4177019-5465-4C4E-A405-88BF7961DEE7}">
      <dsp:nvSpPr>
        <dsp:cNvPr id="0" name=""/>
        <dsp:cNvSpPr/>
      </dsp:nvSpPr>
      <dsp:spPr>
        <a:xfrm rot="3654187">
          <a:off x="717560" y="2078354"/>
          <a:ext cx="590484" cy="21972"/>
        </a:xfrm>
        <a:custGeom>
          <a:avLst/>
          <a:gdLst/>
          <a:ahLst/>
          <a:cxnLst/>
          <a:rect l="0" t="0" r="0" b="0"/>
          <a:pathLst>
            <a:path>
              <a:moveTo>
                <a:pt x="0" y="10986"/>
              </a:moveTo>
              <a:lnTo>
                <a:pt x="590484" y="1098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998040" y="2074578"/>
        <a:ext cx="29524" cy="29524"/>
      </dsp:txXfrm>
    </dsp:sp>
    <dsp:sp modelId="{8B173059-1616-4E46-AD8B-85FF24588ACA}">
      <dsp:nvSpPr>
        <dsp:cNvPr id="0" name=""/>
        <dsp:cNvSpPr/>
      </dsp:nvSpPr>
      <dsp:spPr>
        <a:xfrm>
          <a:off x="1156374" y="2167857"/>
          <a:ext cx="717863" cy="35893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Islamic Law</a:t>
          </a:r>
        </a:p>
      </dsp:txBody>
      <dsp:txXfrm>
        <a:off x="1166887" y="2178370"/>
        <a:ext cx="696837" cy="337905"/>
      </dsp:txXfrm>
    </dsp:sp>
    <dsp:sp modelId="{3D259EB4-A053-44F0-A4C2-AB5DC63C1546}">
      <dsp:nvSpPr>
        <dsp:cNvPr id="0" name=""/>
        <dsp:cNvSpPr/>
      </dsp:nvSpPr>
      <dsp:spPr>
        <a:xfrm rot="18289469">
          <a:off x="1766398" y="2129951"/>
          <a:ext cx="502824" cy="21972"/>
        </a:xfrm>
        <a:custGeom>
          <a:avLst/>
          <a:gdLst/>
          <a:ahLst/>
          <a:cxnLst/>
          <a:rect l="0" t="0" r="0" b="0"/>
          <a:pathLst>
            <a:path>
              <a:moveTo>
                <a:pt x="0" y="10986"/>
              </a:moveTo>
              <a:lnTo>
                <a:pt x="502824" y="1098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2005240" y="2128366"/>
        <a:ext cx="25141" cy="25141"/>
      </dsp:txXfrm>
    </dsp:sp>
    <dsp:sp modelId="{B6655EB9-089A-4E8A-B11B-4620746F5015}">
      <dsp:nvSpPr>
        <dsp:cNvPr id="0" name=""/>
        <dsp:cNvSpPr/>
      </dsp:nvSpPr>
      <dsp:spPr>
        <a:xfrm>
          <a:off x="2161383" y="1755085"/>
          <a:ext cx="717863" cy="358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i="1" kern="1200">
              <a:latin typeface="Palatino Linotype" panose="02040502050505030304" pitchFamily="18" charset="0"/>
            </a:rPr>
            <a:t>Sulh (Ishlah)</a:t>
          </a:r>
        </a:p>
      </dsp:txBody>
      <dsp:txXfrm>
        <a:off x="2171896" y="1765598"/>
        <a:ext cx="696837" cy="337905"/>
      </dsp:txXfrm>
    </dsp:sp>
    <dsp:sp modelId="{9ACEDA89-1D8D-439A-A484-B4501F0197BD}">
      <dsp:nvSpPr>
        <dsp:cNvPr id="0" name=""/>
        <dsp:cNvSpPr/>
      </dsp:nvSpPr>
      <dsp:spPr>
        <a:xfrm>
          <a:off x="1874238" y="2336336"/>
          <a:ext cx="287145" cy="21972"/>
        </a:xfrm>
        <a:custGeom>
          <a:avLst/>
          <a:gdLst/>
          <a:ahLst/>
          <a:cxnLst/>
          <a:rect l="0" t="0" r="0" b="0"/>
          <a:pathLst>
            <a:path>
              <a:moveTo>
                <a:pt x="0" y="10986"/>
              </a:moveTo>
              <a:lnTo>
                <a:pt x="287145" y="1098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2010632" y="2340144"/>
        <a:ext cx="14357" cy="14357"/>
      </dsp:txXfrm>
    </dsp:sp>
    <dsp:sp modelId="{E6C1B7B3-3911-4A09-85E4-707C414FCE8D}">
      <dsp:nvSpPr>
        <dsp:cNvPr id="0" name=""/>
        <dsp:cNvSpPr/>
      </dsp:nvSpPr>
      <dsp:spPr>
        <a:xfrm>
          <a:off x="2161383" y="2167857"/>
          <a:ext cx="717863" cy="358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Tahkim (Arbitrage)</a:t>
          </a:r>
        </a:p>
      </dsp:txBody>
      <dsp:txXfrm>
        <a:off x="2171896" y="2178370"/>
        <a:ext cx="696837" cy="337905"/>
      </dsp:txXfrm>
    </dsp:sp>
    <dsp:sp modelId="{F1288B3B-959F-401F-B1A9-0E810A3656E5}">
      <dsp:nvSpPr>
        <dsp:cNvPr id="0" name=""/>
        <dsp:cNvSpPr/>
      </dsp:nvSpPr>
      <dsp:spPr>
        <a:xfrm rot="3310531">
          <a:off x="1766398" y="2542722"/>
          <a:ext cx="502824" cy="21972"/>
        </a:xfrm>
        <a:custGeom>
          <a:avLst/>
          <a:gdLst/>
          <a:ahLst/>
          <a:cxnLst/>
          <a:rect l="0" t="0" r="0" b="0"/>
          <a:pathLst>
            <a:path>
              <a:moveTo>
                <a:pt x="0" y="10986"/>
              </a:moveTo>
              <a:lnTo>
                <a:pt x="502824" y="1098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latin typeface="Palatino Linotype" panose="02040502050505030304" pitchFamily="18" charset="0"/>
          </a:endParaRPr>
        </a:p>
      </dsp:txBody>
      <dsp:txXfrm>
        <a:off x="2005240" y="2541138"/>
        <a:ext cx="25141" cy="25141"/>
      </dsp:txXfrm>
    </dsp:sp>
    <dsp:sp modelId="{C7321DF5-EFA7-4D12-8FF3-76E53A659D1C}">
      <dsp:nvSpPr>
        <dsp:cNvPr id="0" name=""/>
        <dsp:cNvSpPr/>
      </dsp:nvSpPr>
      <dsp:spPr>
        <a:xfrm>
          <a:off x="2161383" y="2580628"/>
          <a:ext cx="717863" cy="358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ID" sz="600" kern="1200">
              <a:latin typeface="Palatino Linotype" panose="02040502050505030304" pitchFamily="18" charset="0"/>
            </a:rPr>
            <a:t> Wilayat al-Qadha' (Court)</a:t>
          </a:r>
        </a:p>
      </dsp:txBody>
      <dsp:txXfrm>
        <a:off x="2171896" y="2591141"/>
        <a:ext cx="696837" cy="3379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501DFF-0278-4C0A-901A-2B1C25EF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5265</Words>
  <Characters>30016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Dadin Solihin</cp:lastModifiedBy>
  <cp:revision>14</cp:revision>
  <cp:lastPrinted>2017-12-20T05:51:00Z</cp:lastPrinted>
  <dcterms:created xsi:type="dcterms:W3CDTF">2024-05-11T08:03:00Z</dcterms:created>
  <dcterms:modified xsi:type="dcterms:W3CDTF">2024-05-11T08:28:00Z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b54ec17b-bc24-3885-98f9-6bb2cf68a9b6</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