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935" w:rsidRPr="00A76E3C" w:rsidRDefault="00681935" w:rsidP="00681935">
      <w:pPr>
        <w:keepNext/>
        <w:spacing w:after="0" w:line="480" w:lineRule="auto"/>
        <w:jc w:val="center"/>
        <w:rPr>
          <w:rFonts w:ascii="Times New Roman" w:hAnsi="Times New Roman" w:cs="Times New Roman"/>
          <w:sz w:val="24"/>
          <w:szCs w:val="24"/>
        </w:rPr>
      </w:pPr>
      <w:r w:rsidRPr="00A76E3C">
        <w:rPr>
          <w:rFonts w:ascii="Times New Roman" w:hAnsi="Times New Roman" w:cs="Times New Roman"/>
          <w:noProof/>
          <w:sz w:val="24"/>
          <w:szCs w:val="24"/>
          <w:lang w:eastAsia="id-ID"/>
        </w:rPr>
        <w:drawing>
          <wp:inline distT="0" distB="0" distL="0" distR="0" wp14:anchorId="02A8AAFD" wp14:editId="1BB46BE7">
            <wp:extent cx="3678555" cy="427418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6"/>
                    <a:srcRect/>
                    <a:stretch>
                      <a:fillRect/>
                    </a:stretch>
                  </pic:blipFill>
                  <pic:spPr>
                    <a:xfrm>
                      <a:off x="0" y="0"/>
                      <a:ext cx="3683075" cy="4279178"/>
                    </a:xfrm>
                    <a:prstGeom prst="rect">
                      <a:avLst/>
                    </a:prstGeom>
                  </pic:spPr>
                </pic:pic>
              </a:graphicData>
            </a:graphic>
          </wp:inline>
        </w:drawing>
      </w:r>
    </w:p>
    <w:p w:rsidR="00681935" w:rsidRPr="00A76E3C" w:rsidRDefault="00681935" w:rsidP="00681935">
      <w:pPr>
        <w:spacing w:after="0" w:line="480" w:lineRule="auto"/>
        <w:jc w:val="center"/>
        <w:rPr>
          <w:rFonts w:ascii="Times New Roman" w:eastAsia="Cambria" w:hAnsi="Times New Roman" w:cs="Times New Roman"/>
          <w:b/>
          <w:color w:val="000000"/>
          <w:sz w:val="24"/>
          <w:szCs w:val="24"/>
        </w:rPr>
      </w:pPr>
      <w:r w:rsidRPr="00A76E3C">
        <w:rPr>
          <w:rFonts w:ascii="Times New Roman" w:eastAsia="Cambria" w:hAnsi="Times New Roman" w:cs="Times New Roman"/>
          <w:b/>
          <w:color w:val="000000"/>
          <w:sz w:val="24"/>
          <w:szCs w:val="24"/>
        </w:rPr>
        <w:t>Gambar 1 Diagram PRISMA Hasil Pencarian Artikel</w:t>
      </w:r>
    </w:p>
    <w:p w:rsidR="00681935" w:rsidRDefault="00681935" w:rsidP="00681935">
      <w:pPr>
        <w:keepNext/>
        <w:spacing w:after="0" w:line="480" w:lineRule="auto"/>
        <w:rPr>
          <w:rFonts w:ascii="Times New Roman" w:eastAsia="Cambria" w:hAnsi="Times New Roman" w:cs="Times New Roman"/>
          <w:b/>
          <w:color w:val="000000"/>
          <w:sz w:val="24"/>
          <w:szCs w:val="24"/>
        </w:rPr>
      </w:pPr>
      <w:r>
        <w:rPr>
          <w:rFonts w:ascii="Times New Roman" w:eastAsia="Cambria" w:hAnsi="Times New Roman" w:cs="Times New Roman"/>
          <w:b/>
          <w:color w:val="000000"/>
          <w:sz w:val="24"/>
          <w:szCs w:val="24"/>
        </w:rPr>
        <w:br w:type="page"/>
      </w:r>
    </w:p>
    <w:p w:rsidR="00681935" w:rsidRPr="00A76E3C" w:rsidRDefault="00681935" w:rsidP="00681935">
      <w:pPr>
        <w:keepNext/>
        <w:spacing w:after="0" w:line="480" w:lineRule="auto"/>
        <w:jc w:val="center"/>
        <w:rPr>
          <w:rFonts w:ascii="Times New Roman" w:eastAsia="Cambria" w:hAnsi="Times New Roman" w:cs="Times New Roman"/>
          <w:b/>
          <w:color w:val="000000"/>
          <w:sz w:val="24"/>
          <w:szCs w:val="24"/>
        </w:rPr>
      </w:pPr>
      <w:r w:rsidRPr="00A76E3C">
        <w:rPr>
          <w:rFonts w:ascii="Times New Roman" w:eastAsia="Cambria" w:hAnsi="Times New Roman" w:cs="Times New Roman"/>
          <w:b/>
          <w:color w:val="000000"/>
          <w:sz w:val="24"/>
          <w:szCs w:val="24"/>
        </w:rPr>
        <w:lastRenderedPageBreak/>
        <w:t>Tabel 1 Strategi Pencarian</w:t>
      </w:r>
    </w:p>
    <w:tbl>
      <w:tblPr>
        <w:tblStyle w:val="Style22"/>
        <w:tblW w:w="8046" w:type="dxa"/>
        <w:tblBorders>
          <w:top w:val="single" w:sz="4" w:space="0" w:color="000000"/>
          <w:bottom w:val="single" w:sz="4" w:space="0" w:color="000000"/>
        </w:tblBorders>
        <w:tblLayout w:type="fixed"/>
        <w:tblLook w:val="04A0" w:firstRow="1" w:lastRow="0" w:firstColumn="1" w:lastColumn="0" w:noHBand="0" w:noVBand="1"/>
      </w:tblPr>
      <w:tblGrid>
        <w:gridCol w:w="1843"/>
        <w:gridCol w:w="5211"/>
        <w:gridCol w:w="992"/>
      </w:tblGrid>
      <w:tr w:rsidR="00681935" w:rsidRPr="00A76E3C" w:rsidTr="00822EEA">
        <w:tc>
          <w:tcPr>
            <w:tcW w:w="1843" w:type="dxa"/>
            <w:tcBorders>
              <w:top w:val="single" w:sz="4" w:space="0" w:color="000000"/>
              <w:bottom w:val="single" w:sz="4" w:space="0" w:color="000000"/>
            </w:tcBorders>
          </w:tcPr>
          <w:p w:rsidR="00681935" w:rsidRPr="00A76E3C" w:rsidRDefault="00681935" w:rsidP="00822EEA">
            <w:pPr>
              <w:spacing w:line="360" w:lineRule="auto"/>
              <w:jc w:val="center"/>
              <w:rPr>
                <w:rFonts w:ascii="Times New Roman" w:eastAsia="Cambria" w:hAnsi="Times New Roman" w:cs="Times New Roman"/>
                <w:b/>
                <w:sz w:val="24"/>
                <w:szCs w:val="24"/>
              </w:rPr>
            </w:pPr>
            <w:r w:rsidRPr="00A76E3C">
              <w:rPr>
                <w:rFonts w:ascii="Times New Roman" w:eastAsia="Cambria" w:hAnsi="Times New Roman" w:cs="Times New Roman"/>
                <w:b/>
                <w:sz w:val="24"/>
                <w:szCs w:val="24"/>
              </w:rPr>
              <w:t>Database</w:t>
            </w:r>
          </w:p>
        </w:tc>
        <w:tc>
          <w:tcPr>
            <w:tcW w:w="5211" w:type="dxa"/>
            <w:tcBorders>
              <w:top w:val="single" w:sz="4" w:space="0" w:color="000000"/>
              <w:bottom w:val="single" w:sz="4" w:space="0" w:color="000000"/>
            </w:tcBorders>
          </w:tcPr>
          <w:p w:rsidR="00681935" w:rsidRPr="00A76E3C" w:rsidRDefault="00681935" w:rsidP="00822EEA">
            <w:pPr>
              <w:spacing w:line="360" w:lineRule="auto"/>
              <w:jc w:val="center"/>
              <w:rPr>
                <w:rFonts w:ascii="Times New Roman" w:eastAsia="Cambria" w:hAnsi="Times New Roman" w:cs="Times New Roman"/>
                <w:b/>
                <w:sz w:val="24"/>
                <w:szCs w:val="24"/>
              </w:rPr>
            </w:pPr>
            <w:proofErr w:type="spellStart"/>
            <w:r w:rsidRPr="00A76E3C">
              <w:rPr>
                <w:rFonts w:ascii="Times New Roman" w:eastAsia="Cambria" w:hAnsi="Times New Roman" w:cs="Times New Roman"/>
                <w:b/>
                <w:sz w:val="24"/>
                <w:szCs w:val="24"/>
              </w:rPr>
              <w:t>Strategi</w:t>
            </w:r>
            <w:proofErr w:type="spellEnd"/>
            <w:r w:rsidRPr="00A76E3C">
              <w:rPr>
                <w:rFonts w:ascii="Times New Roman" w:eastAsia="Cambria" w:hAnsi="Times New Roman" w:cs="Times New Roman"/>
                <w:b/>
                <w:sz w:val="24"/>
                <w:szCs w:val="24"/>
              </w:rPr>
              <w:t xml:space="preserve"> </w:t>
            </w:r>
            <w:proofErr w:type="spellStart"/>
            <w:r w:rsidRPr="00A76E3C">
              <w:rPr>
                <w:rFonts w:ascii="Times New Roman" w:eastAsia="Cambria" w:hAnsi="Times New Roman" w:cs="Times New Roman"/>
                <w:b/>
                <w:sz w:val="24"/>
                <w:szCs w:val="24"/>
              </w:rPr>
              <w:t>Pencarian</w:t>
            </w:r>
            <w:proofErr w:type="spellEnd"/>
          </w:p>
        </w:tc>
        <w:tc>
          <w:tcPr>
            <w:tcW w:w="992" w:type="dxa"/>
            <w:tcBorders>
              <w:top w:val="single" w:sz="4" w:space="0" w:color="000000"/>
              <w:bottom w:val="single" w:sz="4" w:space="0" w:color="000000"/>
            </w:tcBorders>
          </w:tcPr>
          <w:p w:rsidR="00681935" w:rsidRPr="00A76E3C" w:rsidRDefault="00681935" w:rsidP="00822EEA">
            <w:pPr>
              <w:spacing w:line="360" w:lineRule="auto"/>
              <w:jc w:val="center"/>
              <w:rPr>
                <w:rFonts w:ascii="Times New Roman" w:eastAsia="Cambria" w:hAnsi="Times New Roman" w:cs="Times New Roman"/>
                <w:b/>
                <w:sz w:val="24"/>
                <w:szCs w:val="24"/>
              </w:rPr>
            </w:pPr>
            <w:proofErr w:type="spellStart"/>
            <w:r w:rsidRPr="00A76E3C">
              <w:rPr>
                <w:rFonts w:ascii="Times New Roman" w:eastAsia="Cambria" w:hAnsi="Times New Roman" w:cs="Times New Roman"/>
                <w:b/>
                <w:sz w:val="24"/>
                <w:szCs w:val="24"/>
              </w:rPr>
              <w:t>Jumlah</w:t>
            </w:r>
            <w:proofErr w:type="spellEnd"/>
          </w:p>
        </w:tc>
      </w:tr>
      <w:tr w:rsidR="00681935" w:rsidRPr="00A76E3C" w:rsidTr="00822EEA">
        <w:tc>
          <w:tcPr>
            <w:tcW w:w="1843" w:type="dxa"/>
            <w:tcBorders>
              <w:top w:val="single" w:sz="4" w:space="0" w:color="000000"/>
            </w:tcBorders>
          </w:tcPr>
          <w:p w:rsidR="00681935" w:rsidRPr="00A76E3C" w:rsidRDefault="00681935" w:rsidP="00822EEA">
            <w:pPr>
              <w:spacing w:line="360" w:lineRule="auto"/>
              <w:jc w:val="center"/>
              <w:rPr>
                <w:rFonts w:ascii="Times New Roman" w:eastAsia="Cambria" w:hAnsi="Times New Roman" w:cs="Times New Roman"/>
                <w:sz w:val="24"/>
                <w:szCs w:val="24"/>
              </w:rPr>
            </w:pPr>
            <w:r w:rsidRPr="00A76E3C">
              <w:rPr>
                <w:rFonts w:ascii="Times New Roman" w:eastAsia="Cambria" w:hAnsi="Times New Roman" w:cs="Times New Roman"/>
                <w:sz w:val="24"/>
                <w:szCs w:val="24"/>
              </w:rPr>
              <w:t>PubMed</w:t>
            </w:r>
          </w:p>
        </w:tc>
        <w:tc>
          <w:tcPr>
            <w:tcW w:w="5211" w:type="dxa"/>
            <w:tcBorders>
              <w:top w:val="single" w:sz="4" w:space="0" w:color="000000"/>
            </w:tcBorders>
          </w:tcPr>
          <w:p w:rsidR="00681935" w:rsidRPr="00A76E3C" w:rsidRDefault="00681935" w:rsidP="00822EEA">
            <w:pPr>
              <w:spacing w:line="360" w:lineRule="auto"/>
              <w:jc w:val="center"/>
              <w:rPr>
                <w:rFonts w:ascii="Times New Roman" w:eastAsia="Cambria" w:hAnsi="Times New Roman" w:cs="Times New Roman"/>
                <w:i/>
                <w:sz w:val="24"/>
                <w:szCs w:val="24"/>
              </w:rPr>
            </w:pPr>
            <w:r w:rsidRPr="00A76E3C">
              <w:rPr>
                <w:rFonts w:ascii="Times New Roman" w:eastAsia="Cambria" w:hAnsi="Times New Roman" w:cs="Times New Roman"/>
                <w:i/>
                <w:sz w:val="24"/>
                <w:szCs w:val="24"/>
              </w:rPr>
              <w:t xml:space="preserve">((mandibular fracture[Title/Abstract] OR mandible fracture[Title/Abstract]) AND (stem cells[Title/Abstract] OR </w:t>
            </w:r>
            <w:proofErr w:type="spellStart"/>
            <w:r w:rsidRPr="00A76E3C">
              <w:rPr>
                <w:rFonts w:ascii="Times New Roman" w:eastAsia="Cambria" w:hAnsi="Times New Roman" w:cs="Times New Roman"/>
                <w:i/>
                <w:sz w:val="24"/>
                <w:szCs w:val="24"/>
              </w:rPr>
              <w:t>mesenchymal</w:t>
            </w:r>
            <w:proofErr w:type="spellEnd"/>
            <w:r w:rsidRPr="00A76E3C">
              <w:rPr>
                <w:rFonts w:ascii="Times New Roman" w:eastAsia="Cambria" w:hAnsi="Times New Roman" w:cs="Times New Roman"/>
                <w:i/>
                <w:sz w:val="24"/>
                <w:szCs w:val="24"/>
              </w:rPr>
              <w:t xml:space="preserve"> stem cells[Title/Abstract]) OR autologous[Title/Abstract]) AND (bone regeneration[Title/Abstract] OR bone </w:t>
            </w:r>
            <w:proofErr w:type="spellStart"/>
            <w:r w:rsidRPr="00A76E3C">
              <w:rPr>
                <w:rFonts w:ascii="Times New Roman" w:eastAsia="Cambria" w:hAnsi="Times New Roman" w:cs="Times New Roman"/>
                <w:i/>
                <w:sz w:val="24"/>
                <w:szCs w:val="24"/>
              </w:rPr>
              <w:t>remodelling</w:t>
            </w:r>
            <w:proofErr w:type="spellEnd"/>
            <w:r w:rsidRPr="00A76E3C">
              <w:rPr>
                <w:rFonts w:ascii="Times New Roman" w:eastAsia="Cambria" w:hAnsi="Times New Roman" w:cs="Times New Roman"/>
                <w:i/>
                <w:sz w:val="24"/>
                <w:szCs w:val="24"/>
              </w:rPr>
              <w:t xml:space="preserve">[Title/Abstract]) </w:t>
            </w:r>
          </w:p>
        </w:tc>
        <w:tc>
          <w:tcPr>
            <w:tcW w:w="992" w:type="dxa"/>
            <w:tcBorders>
              <w:top w:val="single" w:sz="4" w:space="0" w:color="000000"/>
            </w:tcBorders>
          </w:tcPr>
          <w:p w:rsidR="00681935" w:rsidRPr="00A76E3C" w:rsidRDefault="00681935" w:rsidP="00822EEA">
            <w:pPr>
              <w:spacing w:line="360" w:lineRule="auto"/>
              <w:jc w:val="center"/>
              <w:rPr>
                <w:rFonts w:ascii="Times New Roman" w:eastAsia="Cambria" w:hAnsi="Times New Roman" w:cs="Times New Roman"/>
                <w:sz w:val="24"/>
                <w:szCs w:val="24"/>
              </w:rPr>
            </w:pPr>
            <w:r w:rsidRPr="00A76E3C">
              <w:rPr>
                <w:rFonts w:ascii="Times New Roman" w:eastAsia="Cambria" w:hAnsi="Times New Roman" w:cs="Times New Roman"/>
                <w:sz w:val="24"/>
                <w:szCs w:val="24"/>
              </w:rPr>
              <w:t>958</w:t>
            </w:r>
          </w:p>
        </w:tc>
      </w:tr>
      <w:tr w:rsidR="00681935" w:rsidRPr="00A76E3C" w:rsidTr="00822EEA">
        <w:tc>
          <w:tcPr>
            <w:tcW w:w="1843" w:type="dxa"/>
          </w:tcPr>
          <w:p w:rsidR="00681935" w:rsidRPr="00A76E3C" w:rsidRDefault="00681935" w:rsidP="00822EEA">
            <w:pPr>
              <w:spacing w:line="360" w:lineRule="auto"/>
              <w:jc w:val="center"/>
              <w:rPr>
                <w:rFonts w:ascii="Times New Roman" w:eastAsia="Cambria" w:hAnsi="Times New Roman" w:cs="Times New Roman"/>
                <w:i/>
                <w:sz w:val="24"/>
                <w:szCs w:val="24"/>
              </w:rPr>
            </w:pPr>
            <w:r w:rsidRPr="00A76E3C">
              <w:rPr>
                <w:rFonts w:ascii="Times New Roman" w:eastAsia="Cambria" w:hAnsi="Times New Roman" w:cs="Times New Roman"/>
                <w:i/>
                <w:sz w:val="24"/>
                <w:szCs w:val="24"/>
              </w:rPr>
              <w:t>Science Direct</w:t>
            </w:r>
          </w:p>
        </w:tc>
        <w:tc>
          <w:tcPr>
            <w:tcW w:w="5211" w:type="dxa"/>
          </w:tcPr>
          <w:p w:rsidR="00681935" w:rsidRPr="00A76E3C" w:rsidRDefault="00681935" w:rsidP="00822EEA">
            <w:pPr>
              <w:spacing w:line="360" w:lineRule="auto"/>
              <w:jc w:val="center"/>
              <w:rPr>
                <w:rFonts w:ascii="Times New Roman" w:eastAsia="Cambria" w:hAnsi="Times New Roman" w:cs="Times New Roman"/>
                <w:i/>
                <w:sz w:val="24"/>
                <w:szCs w:val="24"/>
              </w:rPr>
            </w:pPr>
            <w:r w:rsidRPr="00A76E3C">
              <w:rPr>
                <w:rFonts w:ascii="Times New Roman" w:eastAsia="Cambria" w:hAnsi="Times New Roman" w:cs="Times New Roman"/>
                <w:i/>
                <w:sz w:val="24"/>
                <w:szCs w:val="24"/>
              </w:rPr>
              <w:t>("mandibular fracture" OR "mandible fracture") AND ("Stem cells OR "</w:t>
            </w:r>
            <w:proofErr w:type="spellStart"/>
            <w:r w:rsidRPr="00A76E3C">
              <w:rPr>
                <w:rFonts w:ascii="Times New Roman" w:eastAsia="Cambria" w:hAnsi="Times New Roman" w:cs="Times New Roman"/>
                <w:i/>
                <w:sz w:val="24"/>
                <w:szCs w:val="24"/>
              </w:rPr>
              <w:t>mesenchymal</w:t>
            </w:r>
            <w:proofErr w:type="spellEnd"/>
            <w:r w:rsidRPr="00A76E3C">
              <w:rPr>
                <w:rFonts w:ascii="Times New Roman" w:eastAsia="Cambria" w:hAnsi="Times New Roman" w:cs="Times New Roman"/>
                <w:i/>
                <w:sz w:val="24"/>
                <w:szCs w:val="24"/>
              </w:rPr>
              <w:t xml:space="preserve"> stem cells" OR “autologous”) AND ("bone regeneration OR "bone </w:t>
            </w:r>
            <w:proofErr w:type="spellStart"/>
            <w:r w:rsidRPr="00A76E3C">
              <w:rPr>
                <w:rFonts w:ascii="Times New Roman" w:eastAsia="Cambria" w:hAnsi="Times New Roman" w:cs="Times New Roman"/>
                <w:i/>
                <w:sz w:val="24"/>
                <w:szCs w:val="24"/>
              </w:rPr>
              <w:t>remodelling</w:t>
            </w:r>
            <w:proofErr w:type="spellEnd"/>
            <w:r w:rsidRPr="00A76E3C">
              <w:rPr>
                <w:rFonts w:ascii="Times New Roman" w:eastAsia="Cambria" w:hAnsi="Times New Roman" w:cs="Times New Roman"/>
                <w:i/>
                <w:sz w:val="24"/>
                <w:szCs w:val="24"/>
              </w:rPr>
              <w:t>")</w:t>
            </w:r>
          </w:p>
        </w:tc>
        <w:tc>
          <w:tcPr>
            <w:tcW w:w="992" w:type="dxa"/>
          </w:tcPr>
          <w:p w:rsidR="00681935" w:rsidRPr="00A76E3C" w:rsidRDefault="00681935" w:rsidP="00822EEA">
            <w:pPr>
              <w:spacing w:line="360" w:lineRule="auto"/>
              <w:jc w:val="center"/>
              <w:rPr>
                <w:rFonts w:ascii="Times New Roman" w:eastAsia="Cambria" w:hAnsi="Times New Roman" w:cs="Times New Roman"/>
                <w:sz w:val="24"/>
                <w:szCs w:val="24"/>
              </w:rPr>
            </w:pPr>
            <w:r w:rsidRPr="00A76E3C">
              <w:rPr>
                <w:rFonts w:ascii="Times New Roman" w:eastAsia="Cambria" w:hAnsi="Times New Roman" w:cs="Times New Roman"/>
                <w:sz w:val="24"/>
                <w:szCs w:val="24"/>
              </w:rPr>
              <w:t>131</w:t>
            </w:r>
          </w:p>
        </w:tc>
      </w:tr>
      <w:tr w:rsidR="00681935" w:rsidRPr="00A76E3C" w:rsidTr="00822EEA">
        <w:tc>
          <w:tcPr>
            <w:tcW w:w="1843" w:type="dxa"/>
          </w:tcPr>
          <w:p w:rsidR="00681935" w:rsidRPr="00A76E3C" w:rsidRDefault="00681935" w:rsidP="00822EEA">
            <w:pPr>
              <w:spacing w:line="360" w:lineRule="auto"/>
              <w:jc w:val="center"/>
              <w:rPr>
                <w:rFonts w:ascii="Times New Roman" w:eastAsia="Cambria" w:hAnsi="Times New Roman" w:cs="Times New Roman"/>
                <w:i/>
                <w:sz w:val="24"/>
                <w:szCs w:val="24"/>
              </w:rPr>
            </w:pPr>
            <w:r w:rsidRPr="00A76E3C">
              <w:rPr>
                <w:rFonts w:ascii="Times New Roman" w:eastAsia="Cambria" w:hAnsi="Times New Roman" w:cs="Times New Roman"/>
                <w:i/>
                <w:sz w:val="24"/>
                <w:szCs w:val="24"/>
              </w:rPr>
              <w:t>Google Scholar</w:t>
            </w:r>
          </w:p>
        </w:tc>
        <w:tc>
          <w:tcPr>
            <w:tcW w:w="5211" w:type="dxa"/>
          </w:tcPr>
          <w:p w:rsidR="00681935" w:rsidRPr="00A76E3C" w:rsidRDefault="00681935" w:rsidP="00822EEA">
            <w:pPr>
              <w:spacing w:line="360" w:lineRule="auto"/>
              <w:jc w:val="center"/>
              <w:rPr>
                <w:rFonts w:ascii="Times New Roman" w:eastAsia="Cambria" w:hAnsi="Times New Roman" w:cs="Times New Roman"/>
                <w:i/>
                <w:sz w:val="24"/>
                <w:szCs w:val="24"/>
              </w:rPr>
            </w:pPr>
            <w:r w:rsidRPr="00A76E3C">
              <w:rPr>
                <w:rFonts w:ascii="Times New Roman" w:eastAsia="Cambria" w:hAnsi="Times New Roman" w:cs="Times New Roman"/>
                <w:i/>
                <w:sz w:val="24"/>
                <w:szCs w:val="24"/>
              </w:rPr>
              <w:t>"mandibular fracture" OR "mandible fracture" AND "Stem cells" OR "</w:t>
            </w:r>
            <w:proofErr w:type="spellStart"/>
            <w:r w:rsidRPr="00A76E3C">
              <w:rPr>
                <w:rFonts w:ascii="Times New Roman" w:eastAsia="Cambria" w:hAnsi="Times New Roman" w:cs="Times New Roman"/>
                <w:i/>
                <w:sz w:val="24"/>
                <w:szCs w:val="24"/>
              </w:rPr>
              <w:t>mesenchymal</w:t>
            </w:r>
            <w:proofErr w:type="spellEnd"/>
            <w:r w:rsidRPr="00A76E3C">
              <w:rPr>
                <w:rFonts w:ascii="Times New Roman" w:eastAsia="Cambria" w:hAnsi="Times New Roman" w:cs="Times New Roman"/>
                <w:i/>
                <w:sz w:val="24"/>
                <w:szCs w:val="24"/>
              </w:rPr>
              <w:t xml:space="preserve"> stem cells" OR “autologous” AND "bone regeneration" OR "Bone </w:t>
            </w:r>
            <w:proofErr w:type="spellStart"/>
            <w:r w:rsidRPr="00A76E3C">
              <w:rPr>
                <w:rFonts w:ascii="Times New Roman" w:eastAsia="Cambria" w:hAnsi="Times New Roman" w:cs="Times New Roman"/>
                <w:i/>
                <w:sz w:val="24"/>
                <w:szCs w:val="24"/>
              </w:rPr>
              <w:t>remodelling</w:t>
            </w:r>
            <w:proofErr w:type="spellEnd"/>
            <w:r w:rsidRPr="00A76E3C">
              <w:rPr>
                <w:rFonts w:ascii="Times New Roman" w:eastAsia="Cambria" w:hAnsi="Times New Roman" w:cs="Times New Roman"/>
                <w:i/>
                <w:sz w:val="24"/>
                <w:szCs w:val="24"/>
              </w:rPr>
              <w:t>"</w:t>
            </w:r>
          </w:p>
        </w:tc>
        <w:tc>
          <w:tcPr>
            <w:tcW w:w="992" w:type="dxa"/>
          </w:tcPr>
          <w:p w:rsidR="00681935" w:rsidRPr="00A76E3C" w:rsidRDefault="00681935" w:rsidP="00822EEA">
            <w:pPr>
              <w:spacing w:line="360" w:lineRule="auto"/>
              <w:jc w:val="center"/>
              <w:rPr>
                <w:rFonts w:ascii="Times New Roman" w:eastAsia="Cambria" w:hAnsi="Times New Roman" w:cs="Times New Roman"/>
                <w:sz w:val="24"/>
                <w:szCs w:val="24"/>
              </w:rPr>
            </w:pPr>
            <w:r w:rsidRPr="00A76E3C">
              <w:rPr>
                <w:rFonts w:ascii="Times New Roman" w:eastAsia="Cambria" w:hAnsi="Times New Roman" w:cs="Times New Roman"/>
                <w:sz w:val="24"/>
                <w:szCs w:val="24"/>
              </w:rPr>
              <w:t>488</w:t>
            </w:r>
          </w:p>
        </w:tc>
      </w:tr>
    </w:tbl>
    <w:p w:rsidR="00681935" w:rsidRDefault="00681935" w:rsidP="00681935">
      <w:pPr>
        <w:widowControl w:val="0"/>
        <w:spacing w:after="0" w:line="480" w:lineRule="auto"/>
        <w:ind w:left="640" w:hanging="640"/>
        <w:jc w:val="both"/>
        <w:rPr>
          <w:rFonts w:ascii="Times New Roman" w:eastAsia="Cambria" w:hAnsi="Times New Roman" w:cs="Times New Roman"/>
          <w:b/>
          <w:sz w:val="24"/>
          <w:szCs w:val="24"/>
        </w:rPr>
      </w:pPr>
      <w:r>
        <w:rPr>
          <w:rFonts w:ascii="Times New Roman" w:eastAsia="Cambria" w:hAnsi="Times New Roman" w:cs="Times New Roman"/>
          <w:b/>
          <w:sz w:val="24"/>
          <w:szCs w:val="24"/>
        </w:rPr>
        <w:br w:type="page"/>
      </w:r>
    </w:p>
    <w:p w:rsidR="00681935" w:rsidRDefault="00681935" w:rsidP="00681935">
      <w:pPr>
        <w:keepNext/>
        <w:spacing w:after="0" w:line="480" w:lineRule="auto"/>
        <w:jc w:val="center"/>
        <w:rPr>
          <w:rFonts w:ascii="Times New Roman" w:eastAsia="Cambria" w:hAnsi="Times New Roman" w:cs="Times New Roman"/>
          <w:b/>
          <w:color w:val="000000"/>
          <w:sz w:val="24"/>
          <w:szCs w:val="24"/>
        </w:rPr>
        <w:sectPr w:rsidR="00681935" w:rsidSect="00681935">
          <w:type w:val="continuous"/>
          <w:pgSz w:w="11906" w:h="16838" w:code="9"/>
          <w:pgMar w:top="1440" w:right="1440" w:bottom="1440" w:left="1440" w:header="708" w:footer="708" w:gutter="0"/>
          <w:cols w:space="720"/>
          <w:docGrid w:linePitch="299"/>
        </w:sectPr>
      </w:pPr>
    </w:p>
    <w:p w:rsidR="00681935" w:rsidRPr="00681935" w:rsidRDefault="00681935" w:rsidP="00681935">
      <w:pPr>
        <w:keepNext/>
        <w:spacing w:after="0" w:line="240" w:lineRule="auto"/>
        <w:jc w:val="center"/>
        <w:rPr>
          <w:rFonts w:ascii="Times New Roman" w:eastAsia="Cambria" w:hAnsi="Times New Roman" w:cs="Times New Roman"/>
          <w:b/>
          <w:color w:val="000000"/>
          <w:sz w:val="20"/>
          <w:szCs w:val="20"/>
        </w:rPr>
      </w:pPr>
      <w:r w:rsidRPr="00681935">
        <w:rPr>
          <w:rFonts w:ascii="Times New Roman" w:eastAsia="Cambria" w:hAnsi="Times New Roman" w:cs="Times New Roman"/>
          <w:b/>
          <w:color w:val="000000"/>
          <w:sz w:val="20"/>
          <w:szCs w:val="20"/>
        </w:rPr>
        <w:lastRenderedPageBreak/>
        <w:t>Tabel 2 Hasil Penelaahan</w:t>
      </w:r>
    </w:p>
    <w:tbl>
      <w:tblPr>
        <w:tblStyle w:val="Style23"/>
        <w:tblW w:w="16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215"/>
        <w:gridCol w:w="851"/>
        <w:gridCol w:w="850"/>
        <w:gridCol w:w="1224"/>
        <w:gridCol w:w="903"/>
        <w:gridCol w:w="2035"/>
        <w:gridCol w:w="3942"/>
        <w:gridCol w:w="2357"/>
        <w:gridCol w:w="1780"/>
      </w:tblGrid>
      <w:tr w:rsidR="00681935" w:rsidRPr="00681935" w:rsidTr="001C67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8" w:space="0" w:color="000000"/>
              <w:left w:val="nil"/>
              <w:bottom w:val="single" w:sz="8" w:space="0" w:color="000000"/>
              <w:right w:val="nil"/>
            </w:tcBorders>
            <w:shd w:val="clear" w:color="auto" w:fill="FFFFFF"/>
            <w:vAlign w:val="center"/>
          </w:tcPr>
          <w:p w:rsidR="00681935" w:rsidRPr="00681935" w:rsidRDefault="00681935" w:rsidP="00822EEA">
            <w:pPr>
              <w:jc w:val="center"/>
              <w:rPr>
                <w:rFonts w:ascii="Times New Roman" w:eastAsia="Cambria" w:hAnsi="Times New Roman" w:cs="Times New Roman"/>
                <w:b w:val="0"/>
              </w:rPr>
            </w:pPr>
            <w:proofErr w:type="spellStart"/>
            <w:r w:rsidRPr="00681935">
              <w:rPr>
                <w:rFonts w:ascii="Times New Roman" w:eastAsia="Cambria" w:hAnsi="Times New Roman" w:cs="Times New Roman"/>
              </w:rPr>
              <w:t>Penulis</w:t>
            </w:r>
            <w:proofErr w:type="spellEnd"/>
          </w:p>
          <w:p w:rsidR="00681935" w:rsidRPr="00681935" w:rsidRDefault="00681935" w:rsidP="00822EEA">
            <w:pPr>
              <w:jc w:val="center"/>
              <w:rPr>
                <w:rFonts w:ascii="Times New Roman" w:eastAsia="Cambria" w:hAnsi="Times New Roman" w:cs="Times New Roman"/>
                <w:b w:val="0"/>
              </w:rPr>
            </w:pPr>
            <w:r w:rsidRPr="00681935">
              <w:rPr>
                <w:rFonts w:ascii="Times New Roman" w:eastAsia="Cambria" w:hAnsi="Times New Roman" w:cs="Times New Roman"/>
              </w:rPr>
              <w:t>(</w:t>
            </w:r>
            <w:proofErr w:type="spellStart"/>
            <w:r w:rsidRPr="00681935">
              <w:rPr>
                <w:rFonts w:ascii="Times New Roman" w:eastAsia="Cambria" w:hAnsi="Times New Roman" w:cs="Times New Roman"/>
              </w:rPr>
              <w:t>Tahun</w:t>
            </w:r>
            <w:proofErr w:type="spellEnd"/>
            <w:r w:rsidRPr="00681935">
              <w:rPr>
                <w:rFonts w:ascii="Times New Roman" w:eastAsia="Cambria" w:hAnsi="Times New Roman" w:cs="Times New Roman"/>
              </w:rPr>
              <w:t>)</w:t>
            </w:r>
          </w:p>
        </w:tc>
        <w:tc>
          <w:tcPr>
            <w:tcW w:w="1215" w:type="dxa"/>
            <w:tcBorders>
              <w:top w:val="single" w:sz="8" w:space="0" w:color="000000"/>
              <w:left w:val="nil"/>
              <w:bottom w:val="single" w:sz="8" w:space="0" w:color="000000"/>
              <w:right w:val="nil"/>
            </w:tcBorders>
            <w:shd w:val="clear" w:color="auto" w:fill="FFFFFF"/>
            <w:vAlign w:val="center"/>
          </w:tcPr>
          <w:p w:rsidR="00681935" w:rsidRPr="00681935" w:rsidRDefault="00681935" w:rsidP="00822EEA">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rPr>
            </w:pPr>
            <w:proofErr w:type="spellStart"/>
            <w:r w:rsidRPr="00681935">
              <w:rPr>
                <w:rFonts w:ascii="Times New Roman" w:eastAsia="Cambria" w:hAnsi="Times New Roman" w:cs="Times New Roman"/>
              </w:rPr>
              <w:t>Lokasi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Penelitian</w:t>
            </w:r>
            <w:proofErr w:type="spellEnd"/>
          </w:p>
        </w:tc>
        <w:tc>
          <w:tcPr>
            <w:tcW w:w="851" w:type="dxa"/>
            <w:tcBorders>
              <w:top w:val="single" w:sz="8" w:space="0" w:color="000000"/>
              <w:left w:val="nil"/>
              <w:bottom w:val="single" w:sz="8" w:space="0" w:color="000000"/>
              <w:right w:val="nil"/>
            </w:tcBorders>
            <w:shd w:val="clear" w:color="auto" w:fill="FFFFFF"/>
            <w:vAlign w:val="center"/>
          </w:tcPr>
          <w:p w:rsidR="00681935" w:rsidRPr="00681935" w:rsidRDefault="00681935" w:rsidP="00822EEA">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rPr>
            </w:pPr>
            <w:proofErr w:type="spellStart"/>
            <w:r w:rsidRPr="00681935">
              <w:rPr>
                <w:rFonts w:ascii="Times New Roman" w:eastAsia="Cambria" w:hAnsi="Times New Roman" w:cs="Times New Roman"/>
              </w:rPr>
              <w:t>Jurnal</w:t>
            </w:r>
            <w:proofErr w:type="spellEnd"/>
          </w:p>
        </w:tc>
        <w:tc>
          <w:tcPr>
            <w:tcW w:w="850" w:type="dxa"/>
            <w:tcBorders>
              <w:top w:val="single" w:sz="8" w:space="0" w:color="000000"/>
              <w:left w:val="nil"/>
              <w:bottom w:val="single" w:sz="8" w:space="0" w:color="000000"/>
              <w:right w:val="nil"/>
            </w:tcBorders>
            <w:shd w:val="clear" w:color="auto" w:fill="FFFFFF"/>
            <w:vAlign w:val="center"/>
          </w:tcPr>
          <w:p w:rsidR="00681935" w:rsidRPr="00681935" w:rsidRDefault="00681935" w:rsidP="00822EEA">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rPr>
            </w:pPr>
            <w:proofErr w:type="spellStart"/>
            <w:r w:rsidRPr="00681935">
              <w:rPr>
                <w:rFonts w:ascii="Times New Roman" w:eastAsia="Cambria" w:hAnsi="Times New Roman" w:cs="Times New Roman"/>
              </w:rPr>
              <w:t>Indeks</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Artikel</w:t>
            </w:r>
            <w:proofErr w:type="spellEnd"/>
          </w:p>
        </w:tc>
        <w:tc>
          <w:tcPr>
            <w:tcW w:w="1224" w:type="dxa"/>
            <w:tcBorders>
              <w:top w:val="single" w:sz="8" w:space="0" w:color="000000"/>
              <w:left w:val="nil"/>
              <w:bottom w:val="single" w:sz="8" w:space="0" w:color="000000"/>
              <w:right w:val="nil"/>
            </w:tcBorders>
            <w:shd w:val="clear" w:color="auto" w:fill="FFFFFF"/>
            <w:vAlign w:val="center"/>
          </w:tcPr>
          <w:p w:rsidR="00681935" w:rsidRPr="00681935" w:rsidRDefault="00681935" w:rsidP="00822EEA">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rPr>
            </w:pPr>
            <w:proofErr w:type="spellStart"/>
            <w:r w:rsidRPr="00681935">
              <w:rPr>
                <w:rFonts w:ascii="Times New Roman" w:eastAsia="Cambria" w:hAnsi="Times New Roman" w:cs="Times New Roman"/>
              </w:rPr>
              <w:t>Judul</w:t>
            </w:r>
            <w:proofErr w:type="spellEnd"/>
          </w:p>
        </w:tc>
        <w:tc>
          <w:tcPr>
            <w:tcW w:w="903" w:type="dxa"/>
            <w:tcBorders>
              <w:top w:val="single" w:sz="8" w:space="0" w:color="000000"/>
              <w:left w:val="nil"/>
              <w:bottom w:val="single" w:sz="8" w:space="0" w:color="000000"/>
              <w:right w:val="nil"/>
            </w:tcBorders>
            <w:shd w:val="clear" w:color="auto" w:fill="FFFFFF"/>
            <w:vAlign w:val="center"/>
          </w:tcPr>
          <w:p w:rsidR="00681935" w:rsidRPr="00681935" w:rsidRDefault="00681935" w:rsidP="00822EEA">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rPr>
            </w:pPr>
            <w:proofErr w:type="spellStart"/>
            <w:r w:rsidRPr="00681935">
              <w:rPr>
                <w:rFonts w:ascii="Times New Roman" w:eastAsia="Cambria" w:hAnsi="Times New Roman" w:cs="Times New Roman"/>
              </w:rPr>
              <w:t>Desain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Studi</w:t>
            </w:r>
            <w:proofErr w:type="spellEnd"/>
          </w:p>
        </w:tc>
        <w:tc>
          <w:tcPr>
            <w:tcW w:w="2035" w:type="dxa"/>
            <w:tcBorders>
              <w:top w:val="single" w:sz="8" w:space="0" w:color="000000"/>
              <w:left w:val="nil"/>
              <w:bottom w:val="single" w:sz="8" w:space="0" w:color="000000"/>
              <w:right w:val="nil"/>
            </w:tcBorders>
            <w:shd w:val="clear" w:color="auto" w:fill="FFFFFF"/>
            <w:vAlign w:val="center"/>
          </w:tcPr>
          <w:p w:rsidR="00681935" w:rsidRPr="00681935" w:rsidRDefault="00681935" w:rsidP="00822EEA">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rPr>
            </w:pPr>
            <w:proofErr w:type="spellStart"/>
            <w:r w:rsidRPr="00681935">
              <w:rPr>
                <w:rFonts w:ascii="Times New Roman" w:eastAsia="Cambria" w:hAnsi="Times New Roman" w:cs="Times New Roman"/>
              </w:rPr>
              <w:t>Tujuan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Penelitian</w:t>
            </w:r>
            <w:proofErr w:type="spellEnd"/>
          </w:p>
        </w:tc>
        <w:tc>
          <w:tcPr>
            <w:tcW w:w="3942" w:type="dxa"/>
            <w:tcBorders>
              <w:top w:val="single" w:sz="8" w:space="0" w:color="000000"/>
              <w:left w:val="nil"/>
              <w:bottom w:val="single" w:sz="8" w:space="0" w:color="000000"/>
              <w:right w:val="nil"/>
            </w:tcBorders>
            <w:shd w:val="clear" w:color="auto" w:fill="FFFFFF"/>
            <w:vAlign w:val="center"/>
          </w:tcPr>
          <w:p w:rsidR="00681935" w:rsidRPr="00681935" w:rsidRDefault="00681935" w:rsidP="00822EEA">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rPr>
            </w:pPr>
            <w:proofErr w:type="spellStart"/>
            <w:r w:rsidRPr="00681935">
              <w:rPr>
                <w:rFonts w:ascii="Times New Roman" w:eastAsia="Cambria" w:hAnsi="Times New Roman" w:cs="Times New Roman"/>
              </w:rPr>
              <w:t>Sampel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Penelitian</w:t>
            </w:r>
            <w:proofErr w:type="spellEnd"/>
          </w:p>
        </w:tc>
        <w:tc>
          <w:tcPr>
            <w:tcW w:w="2357" w:type="dxa"/>
            <w:tcBorders>
              <w:top w:val="single" w:sz="8" w:space="0" w:color="000000"/>
              <w:left w:val="nil"/>
              <w:bottom w:val="single" w:sz="8" w:space="0" w:color="000000"/>
              <w:right w:val="nil"/>
            </w:tcBorders>
            <w:shd w:val="clear" w:color="auto" w:fill="FFFFFF"/>
            <w:vAlign w:val="center"/>
          </w:tcPr>
          <w:p w:rsidR="00681935" w:rsidRPr="00681935" w:rsidRDefault="00681935" w:rsidP="00822EEA">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rPr>
            </w:pPr>
            <w:proofErr w:type="spellStart"/>
            <w:r w:rsidRPr="00681935">
              <w:rPr>
                <w:rFonts w:ascii="Times New Roman" w:eastAsia="Cambria" w:hAnsi="Times New Roman" w:cs="Times New Roman"/>
              </w:rPr>
              <w:t>Hasil</w:t>
            </w:r>
            <w:proofErr w:type="spellEnd"/>
          </w:p>
        </w:tc>
        <w:tc>
          <w:tcPr>
            <w:tcW w:w="1780" w:type="dxa"/>
            <w:tcBorders>
              <w:top w:val="single" w:sz="8" w:space="0" w:color="000000"/>
              <w:left w:val="nil"/>
              <w:bottom w:val="single" w:sz="8" w:space="0" w:color="000000"/>
              <w:right w:val="nil"/>
            </w:tcBorders>
            <w:shd w:val="clear" w:color="auto" w:fill="FFFFFF"/>
            <w:vAlign w:val="center"/>
          </w:tcPr>
          <w:p w:rsidR="00681935" w:rsidRPr="00681935" w:rsidRDefault="00681935" w:rsidP="00822EEA">
            <w:pPr>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b w:val="0"/>
              </w:rPr>
            </w:pPr>
            <w:proofErr w:type="spellStart"/>
            <w:r w:rsidRPr="00681935">
              <w:rPr>
                <w:rFonts w:ascii="Times New Roman" w:eastAsia="Cambria" w:hAnsi="Times New Roman" w:cs="Times New Roman"/>
              </w:rPr>
              <w:t>Kesimpulan</w:t>
            </w:r>
            <w:proofErr w:type="spellEnd"/>
          </w:p>
        </w:tc>
      </w:tr>
      <w:tr w:rsidR="00681935" w:rsidRPr="00681935" w:rsidTr="001C673D">
        <w:trPr>
          <w:trHeight w:val="3113"/>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shd w:val="clear" w:color="auto" w:fill="FFFFFF"/>
          </w:tcPr>
          <w:p w:rsidR="00681935" w:rsidRPr="00681935" w:rsidRDefault="00681935" w:rsidP="00822EEA">
            <w:pPr>
              <w:jc w:val="center"/>
              <w:rPr>
                <w:rFonts w:ascii="Times New Roman" w:eastAsia="Cambria" w:hAnsi="Times New Roman" w:cs="Times New Roman"/>
                <w:b w:val="0"/>
              </w:rPr>
            </w:pPr>
            <w:r w:rsidRPr="00681935">
              <w:rPr>
                <w:rFonts w:ascii="Times New Roman" w:eastAsia="Cambria" w:hAnsi="Times New Roman" w:cs="Times New Roman"/>
                <w:b w:val="0"/>
              </w:rPr>
              <w:t>Castillo-</w:t>
            </w:r>
            <w:proofErr w:type="spellStart"/>
            <w:r w:rsidRPr="00681935">
              <w:rPr>
                <w:rFonts w:ascii="Times New Roman" w:eastAsia="Cambria" w:hAnsi="Times New Roman" w:cs="Times New Roman"/>
                <w:b w:val="0"/>
              </w:rPr>
              <w:t>cardiel</w:t>
            </w:r>
            <w:proofErr w:type="spellEnd"/>
            <w:r w:rsidRPr="00681935">
              <w:rPr>
                <w:rFonts w:ascii="Times New Roman" w:eastAsia="Cambria" w:hAnsi="Times New Roman" w:cs="Times New Roman"/>
                <w:b w:val="0"/>
                <w:i/>
              </w:rPr>
              <w:t>, et al</w:t>
            </w:r>
            <w:r w:rsidRPr="00681935">
              <w:rPr>
                <w:rFonts w:ascii="Times New Roman" w:eastAsia="Cambria" w:hAnsi="Times New Roman" w:cs="Times New Roman"/>
                <w:b w:val="0"/>
              </w:rPr>
              <w:t>.</w:t>
            </w:r>
            <w:r w:rsidRPr="00681935">
              <w:rPr>
                <w:rFonts w:ascii="Times New Roman" w:eastAsia="Cambria" w:hAnsi="Times New Roman" w:cs="Times New Roman"/>
              </w:rPr>
              <w:fldChar w:fldCharType="begin" w:fldLock="1"/>
            </w:r>
            <w:r w:rsidRPr="00681935">
              <w:rPr>
                <w:rFonts w:ascii="Times New Roman" w:eastAsia="Cambria" w:hAnsi="Times New Roman" w:cs="Times New Roman"/>
                <w:b w:val="0"/>
              </w:rPr>
              <w:instrText>ADDIN CSL_CITATION {"citationItems":[{"id":"ITEM-1","itemData":{"DOI":"10.1111/edt.12303","ISSN":"16009657","PMID":"27513920","abstract":"Background/Aim: Facial injury in adults can commonly result in fractures of the mandible. Autologous mesenchymal stem cells (AMSCs) transplantation is proposed as an alternative to conventional graft treatment to improve bone regeneration. The aim was to evaluate the effectiveness of AMSCs application in mandibular fractures to reduce regeneration time and increase bone quality. Materials and methods: This study was a single-blind controlled clinical trial conducted in patients with mandibular angle fractures. Patients were divided into two groups: study group fracture reduction plus application of AMSCs and control group only fracture reduction. AMSCs were obtained from adipose tissue 24 h before the procedure. Intensity and density were evaluated in normal bone and fractured bone at 4 and 12 weeks after surgery using panoramic radiography and computed tomography. Results: A total of 20 patients, 10 in each group, were included. The study group had a mean age of 31.2 ± 6.3 years, and the control group mean age was 29.7 ± 7.2 years. All patients were male. Bone quality measured in grey levels at week 4 was 108.82 ± 3.4 vs 93.92 ± 2.6 (P = 0.000) using panoramic radiography and 123 ± 4.53 vs 99.72 ± 5.72 (P = 0.000) using computed tomography. At week 12, the measurements were 153.53 ± 1.83 vs 101.81 ± 4.83 (P = 0.000) using panoramic radiography and 165.4 ± 4.2 vs 112.9 ± 2.0 (P = 0.000) using tomography in the study and control groups, respectively. Conclusion: Similar ossification values were obtained after 4 weeks when the use of AMSCs was compared to simple fracture reduction. However, after 12 weeks, the AMSCs group had a 36.48% higher ossification rate.","author":[{"dropping-particle":"","family":"Castillo-Cardiel","given":"Guadalupe","non-dropping-particle":"","parse-names":false,"suffix":""},{"dropping-particle":"","family":"López-Echaury","given":"Alejandro César","non-dropping-particle":"","parse-names":false,"suffix":""},{"dropping-particle":"","family":"Saucedo-Ortiz","given":"José Antonio","non-dropping-particle":"","parse-names":false,"suffix":""},{"dropping-particle":"","family":"Fuentes-Orozco","given":"Clotilde","non-dropping-particle":"","parse-names":false,"suffix":""},{"dropping-particle":"","family":"Michel-Espinoza","given":"Luis Rodrigo","non-dropping-particle":"","parse-names":false,"suffix":""},{"dropping-particle":"","family":"Irusteta-Jiménez","given":"Leire","non-dropping-particle":"","parse-names":false,"suffix":""},{"dropping-particle":"","family":"Salazar-Parra","given":"Marcela","non-dropping-particle":"","parse-names":false,"suffix":""},{"dropping-particle":"","family":"González-Ojeda","given":"Alejandro","non-dropping-particle":"","parse-names":false,"suffix":""}],"container-title":"Dental Traumatology","id":"ITEM-1","issue":"1","issued":{"date-parts":[["2017"]]},"page":"38-44","title":"Bone regeneration in mandibular fractures after the application of autologous mesenchymal stem cells, a randomized clinical trial","type":"article-journal","volume":"33"},"uris":["http://www.mendeley.com/documents/?uuid=66ea4089-2db1-42f9-abf7-4db7533513e8"]}],"mendeley":{"formattedCitation":"&lt;sup&gt;17&lt;/sup&gt;","plainTextFormattedCitation":"17","previouslyFormattedCitation":"&lt;sup&gt;17&lt;/sup&gt;"},"properties":{"noteIndex":0},"schema":"https://github.com/citation-style-language/schema/raw/master/csl-citation.json"}</w:instrText>
            </w:r>
            <w:r w:rsidRPr="00681935">
              <w:rPr>
                <w:rFonts w:ascii="Times New Roman" w:eastAsia="Cambria" w:hAnsi="Times New Roman" w:cs="Times New Roman"/>
              </w:rPr>
              <w:fldChar w:fldCharType="separate"/>
            </w:r>
            <w:r w:rsidRPr="00681935">
              <w:rPr>
                <w:rFonts w:ascii="Times New Roman" w:eastAsia="Cambria" w:hAnsi="Times New Roman" w:cs="Times New Roman"/>
                <w:b w:val="0"/>
                <w:noProof/>
                <w:vertAlign w:val="superscript"/>
              </w:rPr>
              <w:t>17</w:t>
            </w:r>
            <w:r w:rsidRPr="00681935">
              <w:rPr>
                <w:rFonts w:ascii="Times New Roman" w:eastAsia="Cambria" w:hAnsi="Times New Roman" w:cs="Times New Roman"/>
              </w:rPr>
              <w:fldChar w:fldCharType="end"/>
            </w:r>
          </w:p>
          <w:p w:rsidR="00681935" w:rsidRPr="00681935" w:rsidRDefault="00681935" w:rsidP="00822EEA">
            <w:pPr>
              <w:jc w:val="center"/>
              <w:rPr>
                <w:rFonts w:ascii="Times New Roman" w:eastAsia="Cambria" w:hAnsi="Times New Roman" w:cs="Times New Roman"/>
                <w:b w:val="0"/>
              </w:rPr>
            </w:pPr>
            <w:r w:rsidRPr="00681935">
              <w:rPr>
                <w:rFonts w:ascii="Times New Roman" w:eastAsia="Cambria" w:hAnsi="Times New Roman" w:cs="Times New Roman"/>
                <w:b w:val="0"/>
              </w:rPr>
              <w:t>(2016)</w:t>
            </w:r>
          </w:p>
        </w:tc>
        <w:tc>
          <w:tcPr>
            <w:tcW w:w="1215"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Meksiko</w:t>
            </w:r>
            <w:proofErr w:type="spellEnd"/>
          </w:p>
        </w:tc>
        <w:tc>
          <w:tcPr>
            <w:tcW w:w="851"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i/>
              </w:rPr>
              <w:t>Dental traumatology</w:t>
            </w:r>
          </w:p>
        </w:tc>
        <w:tc>
          <w:tcPr>
            <w:tcW w:w="850"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Q1</w:t>
            </w:r>
          </w:p>
        </w:tc>
        <w:tc>
          <w:tcPr>
            <w:tcW w:w="1224"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i/>
              </w:rPr>
            </w:pPr>
            <w:r w:rsidRPr="00681935">
              <w:rPr>
                <w:rFonts w:ascii="Times New Roman" w:eastAsia="Cambria" w:hAnsi="Times New Roman" w:cs="Times New Roman"/>
                <w:i/>
              </w:rPr>
              <w:t xml:space="preserve">Bone regeneration in mandibular fractures after the application of autologous </w:t>
            </w:r>
            <w:proofErr w:type="spellStart"/>
            <w:r w:rsidRPr="00681935">
              <w:rPr>
                <w:rFonts w:ascii="Times New Roman" w:eastAsia="Cambria" w:hAnsi="Times New Roman" w:cs="Times New Roman"/>
                <w:i/>
              </w:rPr>
              <w:t>mesenchymal</w:t>
            </w:r>
            <w:proofErr w:type="spellEnd"/>
            <w:r w:rsidRPr="00681935">
              <w:rPr>
                <w:rFonts w:ascii="Times New Roman" w:eastAsia="Cambria" w:hAnsi="Times New Roman" w:cs="Times New Roman"/>
                <w:i/>
              </w:rPr>
              <w:t xml:space="preserve"> stem cells : a randomized clini</w:t>
            </w:r>
            <w:bookmarkStart w:id="0" w:name="_GoBack"/>
            <w:bookmarkEnd w:id="0"/>
            <w:r w:rsidRPr="00681935">
              <w:rPr>
                <w:rFonts w:ascii="Times New Roman" w:eastAsia="Cambria" w:hAnsi="Times New Roman" w:cs="Times New Roman"/>
                <w:i/>
              </w:rPr>
              <w:t>cal trial</w:t>
            </w:r>
          </w:p>
        </w:tc>
        <w:tc>
          <w:tcPr>
            <w:tcW w:w="903"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i/>
              </w:rPr>
            </w:pPr>
            <w:r w:rsidRPr="00681935">
              <w:rPr>
                <w:rFonts w:ascii="Times New Roman" w:eastAsia="Cambria" w:hAnsi="Times New Roman" w:cs="Times New Roman"/>
                <w:i/>
              </w:rPr>
              <w:t>controlled Clinical trial</w:t>
            </w:r>
          </w:p>
        </w:tc>
        <w:tc>
          <w:tcPr>
            <w:tcW w:w="2035"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Menilai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keefektifan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penggunaan</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 xml:space="preserve">Autologous </w:t>
            </w:r>
            <w:proofErr w:type="spellStart"/>
            <w:r w:rsidRPr="00681935">
              <w:rPr>
                <w:rFonts w:ascii="Times New Roman" w:eastAsia="Cambria" w:hAnsi="Times New Roman" w:cs="Times New Roman"/>
                <w:i/>
              </w:rPr>
              <w:t>Mesenchymal</w:t>
            </w:r>
            <w:proofErr w:type="spellEnd"/>
            <w:r w:rsidRPr="00681935">
              <w:rPr>
                <w:rFonts w:ascii="Times New Roman" w:eastAsia="Cambria" w:hAnsi="Times New Roman" w:cs="Times New Roman"/>
                <w:i/>
              </w:rPr>
              <w:t xml:space="preserve"> Stem Cells</w:t>
            </w:r>
            <w:r w:rsidRPr="00681935">
              <w:rPr>
                <w:rFonts w:ascii="Times New Roman" w:eastAsia="Cambria" w:hAnsi="Times New Roman" w:cs="Times New Roman"/>
              </w:rPr>
              <w:t xml:space="preserve"> (AMSCs) </w:t>
            </w:r>
            <w:proofErr w:type="spellStart"/>
            <w:r w:rsidRPr="00681935">
              <w:rPr>
                <w:rFonts w:ascii="Times New Roman" w:eastAsia="Cambria" w:hAnsi="Times New Roman" w:cs="Times New Roman"/>
              </w:rPr>
              <w:t>pada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fraktur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mandibula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untuk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mengurangi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waktu</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regenerasi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meningkatkan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kualitas</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w:t>
            </w:r>
          </w:p>
        </w:tc>
        <w:tc>
          <w:tcPr>
            <w:tcW w:w="3942" w:type="dxa"/>
            <w:tcBorders>
              <w:top w:val="nil"/>
              <w:left w:val="nil"/>
              <w:bottom w:val="nil"/>
              <w:right w:val="nil"/>
            </w:tcBorders>
            <w:shd w:val="clear" w:color="auto" w:fill="FFFFFF"/>
          </w:tcPr>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20 </w:t>
            </w:r>
            <w:proofErr w:type="spellStart"/>
            <w:r w:rsidRPr="00681935">
              <w:rPr>
                <w:rFonts w:ascii="Times New Roman" w:eastAsia="Cambria" w:hAnsi="Times New Roman" w:cs="Times New Roman"/>
              </w:rPr>
              <w:t>pasien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laki-laki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berusia</w:t>
            </w:r>
            <w:proofErr w:type="spellEnd"/>
            <w:r w:rsidRPr="00681935">
              <w:rPr>
                <w:rFonts w:ascii="Times New Roman" w:eastAsia="Cambria" w:hAnsi="Times New Roman" w:cs="Times New Roman"/>
              </w:rPr>
              <w:t xml:space="preserve"> 29-31 </w:t>
            </w:r>
            <w:proofErr w:type="spellStart"/>
            <w:r w:rsidRPr="00681935">
              <w:rPr>
                <w:rFonts w:ascii="Times New Roman" w:eastAsia="Cambria" w:hAnsi="Times New Roman" w:cs="Times New Roman"/>
              </w:rPr>
              <w:t>tahun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dibagi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menjadi</w:t>
            </w:r>
            <w:proofErr w:type="spellEnd"/>
            <w:r w:rsidRPr="00681935">
              <w:rPr>
                <w:rFonts w:ascii="Times New Roman" w:eastAsia="Cambria" w:hAnsi="Times New Roman" w:cs="Times New Roman"/>
              </w:rPr>
              <w:t xml:space="preserve"> 2 </w:t>
            </w: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w:t>
            </w:r>
          </w:p>
          <w:p w:rsidR="00681935" w:rsidRPr="00681935" w:rsidRDefault="00681935" w:rsidP="00822EEA">
            <w:pPr>
              <w:numPr>
                <w:ilvl w:val="0"/>
                <w:numId w:val="1"/>
              </w:numPr>
              <w:ind w:left="266" w:hanging="14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Studi</w:t>
            </w:r>
            <w:proofErr w:type="spellEnd"/>
            <w:r w:rsidRPr="00681935">
              <w:rPr>
                <w:rFonts w:ascii="Times New Roman" w:eastAsia="Cambria" w:hAnsi="Times New Roman" w:cs="Times New Roman"/>
              </w:rPr>
              <w:t xml:space="preserve"> (SG) yang </w:t>
            </w:r>
            <w:proofErr w:type="spellStart"/>
            <w:r w:rsidRPr="00681935">
              <w:rPr>
                <w:rFonts w:ascii="Times New Roman" w:eastAsia="Cambria" w:hAnsi="Times New Roman" w:cs="Times New Roman"/>
              </w:rPr>
              <w:t>menggunakan</w:t>
            </w:r>
            <w:proofErr w:type="spellEnd"/>
            <w:r w:rsidRPr="00681935">
              <w:rPr>
                <w:rFonts w:ascii="Times New Roman" w:eastAsia="Cambria" w:hAnsi="Times New Roman" w:cs="Times New Roman"/>
              </w:rPr>
              <w:t xml:space="preserve"> AMSCs</w:t>
            </w:r>
          </w:p>
          <w:p w:rsidR="00681935" w:rsidRPr="00681935" w:rsidRDefault="00681935" w:rsidP="00822EEA">
            <w:pPr>
              <w:numPr>
                <w:ilvl w:val="0"/>
                <w:numId w:val="1"/>
              </w:numPr>
              <w:ind w:left="266" w:hanging="14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Kontrol</w:t>
            </w:r>
            <w:proofErr w:type="spellEnd"/>
            <w:r w:rsidRPr="00681935">
              <w:rPr>
                <w:rFonts w:ascii="Times New Roman" w:eastAsia="Cambria" w:hAnsi="Times New Roman" w:cs="Times New Roman"/>
              </w:rPr>
              <w:t xml:space="preserve"> (CG) </w:t>
            </w:r>
            <w:proofErr w:type="spellStart"/>
            <w:r w:rsidRPr="00681935">
              <w:rPr>
                <w:rFonts w:ascii="Times New Roman" w:eastAsia="Cambria" w:hAnsi="Times New Roman" w:cs="Times New Roman"/>
              </w:rPr>
              <w:t>hanya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reduksi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fraktur</w:t>
            </w:r>
            <w:proofErr w:type="spellEnd"/>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Setelah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operasi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dilakukan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pengukuran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regenerasi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baik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intensitas</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maupun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kepadatan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densitas</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yang </w:t>
            </w:r>
            <w:proofErr w:type="spellStart"/>
            <w:r w:rsidRPr="00681935">
              <w:rPr>
                <w:rFonts w:ascii="Times New Roman" w:eastAsia="Cambria" w:hAnsi="Times New Roman" w:cs="Times New Roman"/>
              </w:rPr>
              <w:t>dilihat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gambaran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radiografi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panoramik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CT Scan </w:t>
            </w:r>
            <w:proofErr w:type="spellStart"/>
            <w:r w:rsidRPr="00681935">
              <w:rPr>
                <w:rFonts w:ascii="Times New Roman" w:eastAsia="Cambria" w:hAnsi="Times New Roman" w:cs="Times New Roman"/>
              </w:rPr>
              <w:t>lalu</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dilihat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perkembangan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komplikasi</w:t>
            </w:r>
            <w:proofErr w:type="spellEnd"/>
            <w:r w:rsidRPr="00681935">
              <w:rPr>
                <w:rFonts w:ascii="Times New Roman" w:eastAsia="Cambria" w:hAnsi="Times New Roman" w:cs="Times New Roman"/>
              </w:rPr>
              <w:t xml:space="preserve"> yang </w:t>
            </w:r>
            <w:proofErr w:type="spellStart"/>
            <w:r w:rsidRPr="00681935">
              <w:rPr>
                <w:rFonts w:ascii="Times New Roman" w:eastAsia="Cambria" w:hAnsi="Times New Roman" w:cs="Times New Roman"/>
              </w:rPr>
              <w:t>terjadi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pada</w:t>
            </w:r>
            <w:proofErr w:type="spellEnd"/>
            <w:r w:rsidRPr="00681935">
              <w:rPr>
                <w:rFonts w:ascii="Times New Roman" w:eastAsia="Cambria" w:hAnsi="Times New Roman" w:cs="Times New Roman"/>
              </w:rPr>
              <w:t xml:space="preserve"> area </w:t>
            </w:r>
            <w:proofErr w:type="spellStart"/>
            <w:r w:rsidRPr="00681935">
              <w:rPr>
                <w:rFonts w:ascii="Times New Roman" w:eastAsia="Cambria" w:hAnsi="Times New Roman" w:cs="Times New Roman"/>
              </w:rPr>
              <w:t>tersebut</w:t>
            </w:r>
            <w:proofErr w:type="spellEnd"/>
            <w:r w:rsidRPr="00681935">
              <w:rPr>
                <w:rFonts w:ascii="Times New Roman" w:eastAsia="Cambria" w:hAnsi="Times New Roman" w:cs="Times New Roman"/>
              </w:rPr>
              <w:t>.</w:t>
            </w: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Sampel</w:t>
            </w:r>
            <w:proofErr w:type="spellEnd"/>
            <w:r w:rsidRPr="00681935">
              <w:rPr>
                <w:rFonts w:ascii="Times New Roman" w:eastAsia="Cambria" w:hAnsi="Times New Roman" w:cs="Times New Roman"/>
              </w:rPr>
              <w:t xml:space="preserve"> AMSCs </w:t>
            </w:r>
            <w:proofErr w:type="spellStart"/>
            <w:r w:rsidRPr="00681935">
              <w:rPr>
                <w:rFonts w:ascii="Times New Roman" w:eastAsia="Cambria" w:hAnsi="Times New Roman" w:cs="Times New Roman"/>
              </w:rPr>
              <w:t>didapatkan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jaringan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lemak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sebanyak</w:t>
            </w:r>
            <w:proofErr w:type="spellEnd"/>
            <w:r w:rsidRPr="00681935">
              <w:rPr>
                <w:rFonts w:ascii="Times New Roman" w:eastAsia="Cambria" w:hAnsi="Times New Roman" w:cs="Times New Roman"/>
              </w:rPr>
              <w:t xml:space="preserve"> 500cc yang </w:t>
            </w:r>
            <w:proofErr w:type="spellStart"/>
            <w:r w:rsidRPr="00681935">
              <w:rPr>
                <w:rFonts w:ascii="Times New Roman" w:eastAsia="Cambria" w:hAnsi="Times New Roman" w:cs="Times New Roman"/>
              </w:rPr>
              <w:t>diproses</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menjadi</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 xml:space="preserve">stem cell </w:t>
            </w:r>
            <w:proofErr w:type="spellStart"/>
            <w:r w:rsidRPr="00681935">
              <w:rPr>
                <w:rFonts w:ascii="Times New Roman" w:eastAsia="Cambria" w:hAnsi="Times New Roman" w:cs="Times New Roman"/>
              </w:rPr>
              <w:t>sehari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sebelum</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operasi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dilakukan</w:t>
            </w:r>
            <w:proofErr w:type="spellEnd"/>
            <w:r w:rsidRPr="00681935">
              <w:rPr>
                <w:rFonts w:ascii="Times New Roman" w:eastAsia="Cambria" w:hAnsi="Times New Roman" w:cs="Times New Roman"/>
              </w:rPr>
              <w:t>.</w:t>
            </w:r>
          </w:p>
        </w:tc>
        <w:tc>
          <w:tcPr>
            <w:tcW w:w="2357" w:type="dxa"/>
            <w:tcBorders>
              <w:top w:val="nil"/>
              <w:left w:val="nil"/>
              <w:bottom w:val="nil"/>
              <w:right w:val="nil"/>
            </w:tcBorders>
            <w:shd w:val="clear" w:color="auto" w:fill="FFFFFF"/>
          </w:tcPr>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Nilai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kualitas</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dilihat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gray level</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radiografi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panoramik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setelah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operasi</w:t>
            </w:r>
            <w:proofErr w:type="spellEnd"/>
            <w:r w:rsidRPr="00681935">
              <w:rPr>
                <w:rFonts w:ascii="Times New Roman" w:eastAsia="Cambria" w:hAnsi="Times New Roman" w:cs="Times New Roman"/>
              </w:rPr>
              <w:t>:</w:t>
            </w: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1. </w:t>
            </w: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Studi</w:t>
            </w:r>
            <w:proofErr w:type="spellEnd"/>
            <w:r w:rsidRPr="00681935">
              <w:rPr>
                <w:rFonts w:ascii="Times New Roman" w:eastAsia="Cambria" w:hAnsi="Times New Roman" w:cs="Times New Roman"/>
              </w:rPr>
              <w:t xml:space="preserve"> (SG) </w:t>
            </w:r>
          </w:p>
          <w:p w:rsidR="00681935" w:rsidRPr="00681935" w:rsidRDefault="00681935" w:rsidP="00822EEA">
            <w:pPr>
              <w:numPr>
                <w:ilvl w:val="0"/>
                <w:numId w:val="1"/>
              </w:numPr>
              <w:ind w:left="340" w:hanging="141"/>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4m : 12,61% </w:t>
            </w:r>
            <w:proofErr w:type="spellStart"/>
            <w:r w:rsidRPr="00681935">
              <w:rPr>
                <w:rFonts w:ascii="Times New Roman" w:eastAsia="Cambria" w:hAnsi="Times New Roman" w:cs="Times New Roman"/>
              </w:rPr>
              <w:t>lebih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rendah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normal</w:t>
            </w:r>
          </w:p>
          <w:p w:rsidR="00681935" w:rsidRPr="00681935" w:rsidRDefault="00681935" w:rsidP="00822EEA">
            <w:pPr>
              <w:numPr>
                <w:ilvl w:val="0"/>
                <w:numId w:val="1"/>
              </w:numPr>
              <w:ind w:left="340" w:hanging="141"/>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12m: 24,42% </w:t>
            </w:r>
            <w:proofErr w:type="spellStart"/>
            <w:r w:rsidRPr="00681935">
              <w:rPr>
                <w:rFonts w:ascii="Times New Roman" w:eastAsia="Cambria" w:hAnsi="Times New Roman" w:cs="Times New Roman"/>
              </w:rPr>
              <w:t>lebih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tinggi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normal</w:t>
            </w:r>
          </w:p>
          <w:p w:rsidR="00681935" w:rsidRPr="00681935" w:rsidRDefault="00681935" w:rsidP="00822EEA">
            <w:pPr>
              <w:numPr>
                <w:ilvl w:val="0"/>
                <w:numId w:val="1"/>
              </w:numPr>
              <w:ind w:left="340" w:hanging="141"/>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Nilai</w:t>
            </w:r>
            <w:proofErr w:type="spellEnd"/>
            <w:r w:rsidRPr="00681935">
              <w:rPr>
                <w:rFonts w:ascii="Times New Roman" w:eastAsia="Cambria" w:hAnsi="Times New Roman" w:cs="Times New Roman"/>
              </w:rPr>
              <w:t xml:space="preserve"> CT : +</w:t>
            </w: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2. </w:t>
            </w: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Kontrol</w:t>
            </w:r>
            <w:proofErr w:type="spellEnd"/>
            <w:r w:rsidRPr="00681935">
              <w:rPr>
                <w:rFonts w:ascii="Times New Roman" w:eastAsia="Cambria" w:hAnsi="Times New Roman" w:cs="Times New Roman"/>
              </w:rPr>
              <w:t xml:space="preserve"> (CG)</w:t>
            </w:r>
          </w:p>
          <w:p w:rsidR="00681935" w:rsidRPr="00681935" w:rsidRDefault="00681935" w:rsidP="00822EEA">
            <w:pPr>
              <w:numPr>
                <w:ilvl w:val="0"/>
                <w:numId w:val="2"/>
              </w:numPr>
              <w:ind w:left="340" w:hanging="141"/>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4m : 22,48% </w:t>
            </w:r>
            <w:proofErr w:type="spellStart"/>
            <w:r w:rsidRPr="00681935">
              <w:rPr>
                <w:rFonts w:ascii="Times New Roman" w:eastAsia="Cambria" w:hAnsi="Times New Roman" w:cs="Times New Roman"/>
              </w:rPr>
              <w:t>lebih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rendah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normal</w:t>
            </w:r>
          </w:p>
          <w:p w:rsidR="00681935" w:rsidRPr="00681935" w:rsidRDefault="00681935" w:rsidP="00822EEA">
            <w:pPr>
              <w:numPr>
                <w:ilvl w:val="0"/>
                <w:numId w:val="2"/>
              </w:numPr>
              <w:ind w:left="340" w:hanging="141"/>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12m :15,97% </w:t>
            </w:r>
            <w:proofErr w:type="spellStart"/>
            <w:r w:rsidRPr="00681935">
              <w:rPr>
                <w:rFonts w:ascii="Times New Roman" w:eastAsia="Cambria" w:hAnsi="Times New Roman" w:cs="Times New Roman"/>
              </w:rPr>
              <w:t>lebih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rendah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normal</w:t>
            </w:r>
          </w:p>
          <w:p w:rsidR="00681935" w:rsidRPr="00681935" w:rsidRDefault="00681935" w:rsidP="00822EEA">
            <w:pPr>
              <w:numPr>
                <w:ilvl w:val="0"/>
                <w:numId w:val="2"/>
              </w:numPr>
              <w:ind w:left="340" w:hanging="141"/>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Nilai</w:t>
            </w:r>
            <w:proofErr w:type="spellEnd"/>
            <w:r w:rsidRPr="00681935">
              <w:rPr>
                <w:rFonts w:ascii="Times New Roman" w:eastAsia="Cambria" w:hAnsi="Times New Roman" w:cs="Times New Roman"/>
              </w:rPr>
              <w:t xml:space="preserve"> CT </w:t>
            </w:r>
            <w:proofErr w:type="spellStart"/>
            <w:r w:rsidRPr="00681935">
              <w:rPr>
                <w:rFonts w:ascii="Times New Roman" w:eastAsia="Cambria" w:hAnsi="Times New Roman" w:cs="Times New Roman"/>
              </w:rPr>
              <w:t>lebih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rendah</w:t>
            </w:r>
            <w:proofErr w:type="spellEnd"/>
          </w:p>
        </w:tc>
        <w:tc>
          <w:tcPr>
            <w:tcW w:w="1780"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Gambaran</w:t>
            </w:r>
            <w:proofErr w:type="spellEnd"/>
            <w:r w:rsidRPr="00681935">
              <w:rPr>
                <w:rFonts w:ascii="Times New Roman" w:eastAsia="Cambria" w:hAnsi="Times New Roman" w:cs="Times New Roman"/>
              </w:rPr>
              <w:t xml:space="preserve"> CT </w:t>
            </w:r>
            <w:proofErr w:type="spellStart"/>
            <w:r w:rsidRPr="00681935">
              <w:rPr>
                <w:rFonts w:ascii="Times New Roman" w:eastAsia="Cambria" w:hAnsi="Times New Roman" w:cs="Times New Roman"/>
              </w:rPr>
              <w:t>pada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minggu</w:t>
            </w:r>
            <w:proofErr w:type="spellEnd"/>
            <w:r w:rsidRPr="00681935">
              <w:rPr>
                <w:rFonts w:ascii="Times New Roman" w:eastAsia="Cambria" w:hAnsi="Times New Roman" w:cs="Times New Roman"/>
              </w:rPr>
              <w:t xml:space="preserve"> ke-12 </w:t>
            </w:r>
            <w:proofErr w:type="spellStart"/>
            <w:r w:rsidRPr="00681935">
              <w:rPr>
                <w:rFonts w:ascii="Times New Roman" w:eastAsia="Cambria" w:hAnsi="Times New Roman" w:cs="Times New Roman"/>
              </w:rPr>
              <w:t>pengaplikasian</w:t>
            </w:r>
            <w:proofErr w:type="spellEnd"/>
            <w:r w:rsidRPr="00681935">
              <w:rPr>
                <w:rFonts w:ascii="Times New Roman" w:eastAsia="Cambria" w:hAnsi="Times New Roman" w:cs="Times New Roman"/>
              </w:rPr>
              <w:t xml:space="preserve"> AMSCs </w:t>
            </w:r>
            <w:proofErr w:type="spellStart"/>
            <w:r w:rsidRPr="00681935">
              <w:rPr>
                <w:rFonts w:ascii="Times New Roman" w:eastAsia="Cambria" w:hAnsi="Times New Roman" w:cs="Times New Roman"/>
              </w:rPr>
              <w:t>menunjukkan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nilai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osifikasi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lebih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tinggi</w:t>
            </w:r>
            <w:proofErr w:type="spellEnd"/>
            <w:r w:rsidRPr="00681935">
              <w:rPr>
                <w:rFonts w:ascii="Times New Roman" w:eastAsia="Cambria" w:hAnsi="Times New Roman" w:cs="Times New Roman"/>
              </w:rPr>
              <w:t xml:space="preserve"> 36</w:t>
            </w:r>
            <w:proofErr w:type="gramStart"/>
            <w:r w:rsidRPr="00681935">
              <w:rPr>
                <w:rFonts w:ascii="Times New Roman" w:eastAsia="Cambria" w:hAnsi="Times New Roman" w:cs="Times New Roman"/>
              </w:rPr>
              <w:t>,48</w:t>
            </w:r>
            <w:proofErr w:type="gramEnd"/>
            <w:r w:rsidRPr="00681935">
              <w:rPr>
                <w:rFonts w:ascii="Times New Roman" w:eastAsia="Cambria" w:hAnsi="Times New Roman" w:cs="Times New Roman"/>
              </w:rPr>
              <w:t xml:space="preserve">%. </w:t>
            </w:r>
          </w:p>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 </w:t>
            </w:r>
          </w:p>
        </w:tc>
      </w:tr>
      <w:tr w:rsidR="00681935" w:rsidRPr="00681935" w:rsidTr="001C673D">
        <w:trPr>
          <w:trHeight w:val="426"/>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shd w:val="clear" w:color="auto" w:fill="FFFFFF"/>
          </w:tcPr>
          <w:p w:rsidR="00681935" w:rsidRPr="00681935" w:rsidRDefault="00681935" w:rsidP="00822EEA">
            <w:pPr>
              <w:jc w:val="center"/>
              <w:rPr>
                <w:rFonts w:ascii="Times New Roman" w:eastAsia="Cambria" w:hAnsi="Times New Roman" w:cs="Times New Roman"/>
                <w:b w:val="0"/>
              </w:rPr>
            </w:pPr>
            <w:r w:rsidRPr="00681935">
              <w:rPr>
                <w:rFonts w:ascii="Times New Roman" w:eastAsia="Cambria" w:hAnsi="Times New Roman" w:cs="Times New Roman"/>
                <w:b w:val="0"/>
              </w:rPr>
              <w:t xml:space="preserve">Matsuo, </w:t>
            </w:r>
            <w:r w:rsidRPr="00681935">
              <w:rPr>
                <w:rFonts w:ascii="Times New Roman" w:eastAsia="Cambria" w:hAnsi="Times New Roman" w:cs="Times New Roman"/>
                <w:b w:val="0"/>
                <w:i/>
              </w:rPr>
              <w:t>et al</w:t>
            </w:r>
            <w:r w:rsidRPr="00681935">
              <w:rPr>
                <w:rFonts w:ascii="Times New Roman" w:eastAsia="Cambria" w:hAnsi="Times New Roman" w:cs="Times New Roman"/>
                <w:b w:val="0"/>
              </w:rPr>
              <w:t>.</w:t>
            </w:r>
            <w:r w:rsidRPr="00681935">
              <w:rPr>
                <w:rFonts w:ascii="Times New Roman" w:eastAsia="Cambria" w:hAnsi="Times New Roman" w:cs="Times New Roman"/>
              </w:rPr>
              <w:fldChar w:fldCharType="begin" w:fldLock="1"/>
            </w:r>
            <w:r w:rsidRPr="00681935">
              <w:rPr>
                <w:rFonts w:ascii="Times New Roman" w:eastAsia="Cambria" w:hAnsi="Times New Roman" w:cs="Times New Roman"/>
                <w:b w:val="0"/>
              </w:rPr>
              <w:instrText>ADDIN CSL_CITATION {"citationItems":[{"id":"ITEM-1","itemData":{"DOI":"10.1016/j.joms.2010.07.073","ISSN":"02782391","PMID":"21272977","abstract":"Purpose: To evaluate the possibility of immediate mandibular reconstruction using particulate cancellous bone and marrow (PCBM), platelet-rich plasma (PRP), and a tray, we compared the postsurgical infection rate and bone formation in patients who received mandibular reconstruction with this method using either an intraoral or extraoral approach. Patients and Methods: We conducted a retrospective study of a series of 18 patients who underwent the mandibular reconstruction procedure using a mesh tray with PCBM and PRP, all performed by 1 surgeon. These cases were further divided into those treated by the intraoral approach and those treated by the extraoral approach. Clinical data, postoperative bone formation, and complications in the 2 groups were evaluated. The χ2 examination and the Mann-Whitney U test were used for statistical analysis. Results: We could not detect any statistically significant differences in clinical data between the 2 groups, except for the timing of reconstruction. There were postoperative complications such as wound dehiscence and tray exposure, as well as infection of the reconstructed bone. The overall complication rate of the recipient sites in the intraoral group was 30% (3 of 10), whereas in the extraoral group, it was 0%. However, satisfactory bone formation was seen in all cases in the intraoral group (100% [10 of 10]) but only 87.5% (7 of 8) in the extraoral group. Conclusion: We conclude that mandibular reconstruction using a tray with PCBM and PRP is a safe and reliable method for cases of benign tumor and trauma, even if immediate reconstruction is performed by an intraoral approach. © 2011 American Association of Oral and Maxillofacial Surgeons.","author":[{"dropping-particle":"","family":"Matsuo","given":"Akira","non-dropping-particle":"","parse-names":false,"suffix":""},{"dropping-particle":"","family":"Chiba","given":"Hiroshige","non-dropping-particle":"","parse-names":false,"suffix":""},{"dropping-particle":"","family":"Toyoda","given":"Jun","non-dropping-particle":"","parse-names":false,"suffix":""},{"dropping-particle":"","family":"Abukawa","given":"Harutsugi","non-dropping-particle":"","parse-names":false,"suffix":""},{"dropping-particle":"","family":"Fujikawa","given":"Ko","non-dropping-particle":"","parse-names":false,"suffix":""},{"dropping-particle":"","family":"Tsuzuki","given":"Masako","non-dropping-particle":"","parse-names":false,"suffix":""},{"dropping-particle":"","family":"Watanabe","given":"Masato","non-dropping-particle":"","parse-names":false,"suffix":""}],"container-title":"Journal of Oral and Maxillofacial Surgery","id":"ITEM-1","issue":"6","issued":{"date-parts":[["2011"]]},"page":"1807-1814","publisher":"Elsevier Inc.","title":"Mandibular reconstruction using a tray with particulate cancellous bone and marrow and platelet-rich plasma by an intraoral approach","type":"article-journal","volume":"69"},"uris":["http://www.mendeley.com/documents/?uuid=da0c17f9-79f9-49eb-af0d-ca5650445bd2"]}],"mendeley":{"formattedCitation":"&lt;sup&gt;18&lt;/sup&gt;","plainTextFormattedCitation":"18","previouslyFormattedCitation":"&lt;sup&gt;18&lt;/sup&gt;"},"properties":{"noteIndex":0},"schema":"https://github.com/citation-style-language/schema/raw/master/csl-citation.json"}</w:instrText>
            </w:r>
            <w:r w:rsidRPr="00681935">
              <w:rPr>
                <w:rFonts w:ascii="Times New Roman" w:eastAsia="Cambria" w:hAnsi="Times New Roman" w:cs="Times New Roman"/>
              </w:rPr>
              <w:fldChar w:fldCharType="separate"/>
            </w:r>
            <w:r w:rsidRPr="00681935">
              <w:rPr>
                <w:rFonts w:ascii="Times New Roman" w:eastAsia="Cambria" w:hAnsi="Times New Roman" w:cs="Times New Roman"/>
                <w:b w:val="0"/>
                <w:noProof/>
                <w:vertAlign w:val="superscript"/>
              </w:rPr>
              <w:t>18</w:t>
            </w:r>
            <w:r w:rsidRPr="00681935">
              <w:rPr>
                <w:rFonts w:ascii="Times New Roman" w:eastAsia="Cambria" w:hAnsi="Times New Roman" w:cs="Times New Roman"/>
              </w:rPr>
              <w:fldChar w:fldCharType="end"/>
            </w:r>
          </w:p>
          <w:p w:rsidR="00681935" w:rsidRPr="00681935" w:rsidRDefault="00681935" w:rsidP="00822EEA">
            <w:pPr>
              <w:jc w:val="center"/>
              <w:rPr>
                <w:rFonts w:ascii="Times New Roman" w:eastAsia="Cambria" w:hAnsi="Times New Roman" w:cs="Times New Roman"/>
                <w:b w:val="0"/>
              </w:rPr>
            </w:pPr>
            <w:r w:rsidRPr="00681935">
              <w:rPr>
                <w:rFonts w:ascii="Times New Roman" w:eastAsia="Cambria" w:hAnsi="Times New Roman" w:cs="Times New Roman"/>
                <w:b w:val="0"/>
              </w:rPr>
              <w:t>(2011)</w:t>
            </w:r>
          </w:p>
        </w:tc>
        <w:tc>
          <w:tcPr>
            <w:tcW w:w="1215"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Jepang</w:t>
            </w:r>
            <w:proofErr w:type="spellEnd"/>
          </w:p>
        </w:tc>
        <w:tc>
          <w:tcPr>
            <w:tcW w:w="851"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i/>
              </w:rPr>
              <w:t>Journal of oral maxillofacial surgery</w:t>
            </w:r>
          </w:p>
        </w:tc>
        <w:tc>
          <w:tcPr>
            <w:tcW w:w="850"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Q1</w:t>
            </w:r>
          </w:p>
        </w:tc>
        <w:tc>
          <w:tcPr>
            <w:tcW w:w="1224"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i/>
              </w:rPr>
            </w:pPr>
            <w:r w:rsidRPr="00681935">
              <w:rPr>
                <w:rFonts w:ascii="Times New Roman" w:eastAsia="Cambria" w:hAnsi="Times New Roman" w:cs="Times New Roman"/>
                <w:i/>
              </w:rPr>
              <w:t xml:space="preserve">Mandibular Reconstruction Using a Tray With Particulate </w:t>
            </w:r>
            <w:proofErr w:type="spellStart"/>
            <w:r w:rsidRPr="00681935">
              <w:rPr>
                <w:rFonts w:ascii="Times New Roman" w:eastAsia="Cambria" w:hAnsi="Times New Roman" w:cs="Times New Roman"/>
                <w:i/>
              </w:rPr>
              <w:t>Cancellous</w:t>
            </w:r>
            <w:proofErr w:type="spellEnd"/>
            <w:r w:rsidRPr="00681935">
              <w:rPr>
                <w:rFonts w:ascii="Times New Roman" w:eastAsia="Cambria" w:hAnsi="Times New Roman" w:cs="Times New Roman"/>
                <w:i/>
              </w:rPr>
              <w:t xml:space="preserve"> Bone and Marrow and Platelet-Rich Plasma by an Intraoral Approach</w:t>
            </w:r>
          </w:p>
        </w:tc>
        <w:tc>
          <w:tcPr>
            <w:tcW w:w="903"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Studi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retrospektif</w:t>
            </w:r>
            <w:proofErr w:type="spellEnd"/>
          </w:p>
        </w:tc>
        <w:tc>
          <w:tcPr>
            <w:tcW w:w="2035"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Menilai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kemungkinan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perbaikan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cepat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mandibula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menggunakan</w:t>
            </w:r>
            <w:proofErr w:type="spellEnd"/>
            <w:r w:rsidRPr="00681935">
              <w:rPr>
                <w:rFonts w:ascii="Times New Roman" w:eastAsia="Cambria" w:hAnsi="Times New Roman" w:cs="Times New Roman"/>
              </w:rPr>
              <w:t xml:space="preserve"> tray yang </w:t>
            </w:r>
            <w:proofErr w:type="spellStart"/>
            <w:r w:rsidRPr="00681935">
              <w:rPr>
                <w:rFonts w:ascii="Times New Roman" w:eastAsia="Cambria" w:hAnsi="Times New Roman" w:cs="Times New Roman"/>
              </w:rPr>
              <w:t>diisi</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 xml:space="preserve">Particulate </w:t>
            </w:r>
            <w:proofErr w:type="spellStart"/>
            <w:r w:rsidRPr="00681935">
              <w:rPr>
                <w:rFonts w:ascii="Times New Roman" w:eastAsia="Cambria" w:hAnsi="Times New Roman" w:cs="Times New Roman"/>
                <w:i/>
              </w:rPr>
              <w:t>Cancelous</w:t>
            </w:r>
            <w:proofErr w:type="spellEnd"/>
            <w:r w:rsidRPr="00681935">
              <w:rPr>
                <w:rFonts w:ascii="Times New Roman" w:eastAsia="Cambria" w:hAnsi="Times New Roman" w:cs="Times New Roman"/>
                <w:i/>
              </w:rPr>
              <w:t xml:space="preserve"> Bone and Marrow </w:t>
            </w:r>
            <w:r w:rsidRPr="00681935">
              <w:rPr>
                <w:rFonts w:ascii="Times New Roman" w:eastAsia="Cambria" w:hAnsi="Times New Roman" w:cs="Times New Roman"/>
              </w:rPr>
              <w:t xml:space="preserve">(PCBM), </w:t>
            </w:r>
            <w:r w:rsidRPr="00681935">
              <w:rPr>
                <w:rFonts w:ascii="Times New Roman" w:eastAsia="Cambria" w:hAnsi="Times New Roman" w:cs="Times New Roman"/>
                <w:i/>
              </w:rPr>
              <w:t xml:space="preserve">platelet rich </w:t>
            </w:r>
            <w:proofErr w:type="gramStart"/>
            <w:r w:rsidRPr="00681935">
              <w:rPr>
                <w:rFonts w:ascii="Times New Roman" w:eastAsia="Cambria" w:hAnsi="Times New Roman" w:cs="Times New Roman"/>
                <w:i/>
              </w:rPr>
              <w:t xml:space="preserve">plasma </w:t>
            </w:r>
            <w:r w:rsidRPr="00681935">
              <w:rPr>
                <w:rFonts w:ascii="Times New Roman" w:eastAsia="Cambria" w:hAnsi="Times New Roman" w:cs="Times New Roman"/>
              </w:rPr>
              <w:t xml:space="preserve"> (</w:t>
            </w:r>
            <w:proofErr w:type="gramEnd"/>
            <w:r w:rsidRPr="00681935">
              <w:rPr>
                <w:rFonts w:ascii="Times New Roman" w:eastAsia="Cambria" w:hAnsi="Times New Roman" w:cs="Times New Roman"/>
              </w:rPr>
              <w:t xml:space="preserve">PRP), </w:t>
            </w:r>
            <w:proofErr w:type="spellStart"/>
            <w:r w:rsidRPr="00681935">
              <w:rPr>
                <w:rFonts w:ascii="Times New Roman" w:eastAsia="Cambria" w:hAnsi="Times New Roman" w:cs="Times New Roman"/>
              </w:rPr>
              <w:t>kemudian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dibandingkan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kadar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infeksi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pembentukan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pada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pasien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baik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secara</w:t>
            </w:r>
            <w:proofErr w:type="spellEnd"/>
            <w:r w:rsidRPr="00681935">
              <w:rPr>
                <w:rFonts w:ascii="Times New Roman" w:eastAsia="Cambria" w:hAnsi="Times New Roman" w:cs="Times New Roman"/>
              </w:rPr>
              <w:t xml:space="preserve"> intraoral </w:t>
            </w:r>
            <w:proofErr w:type="spellStart"/>
            <w:r w:rsidRPr="00681935">
              <w:rPr>
                <w:rFonts w:ascii="Times New Roman" w:eastAsia="Cambria" w:hAnsi="Times New Roman" w:cs="Times New Roman"/>
              </w:rPr>
              <w:t>ataupun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ekstraoral</w:t>
            </w:r>
            <w:proofErr w:type="spellEnd"/>
            <w:r w:rsidRPr="00681935">
              <w:rPr>
                <w:rFonts w:ascii="Times New Roman" w:eastAsia="Cambria" w:hAnsi="Times New Roman" w:cs="Times New Roman"/>
              </w:rPr>
              <w:t>.</w:t>
            </w:r>
          </w:p>
        </w:tc>
        <w:tc>
          <w:tcPr>
            <w:tcW w:w="3942" w:type="dxa"/>
            <w:tcBorders>
              <w:top w:val="nil"/>
              <w:left w:val="nil"/>
              <w:bottom w:val="nil"/>
              <w:right w:val="nil"/>
            </w:tcBorders>
            <w:shd w:val="clear" w:color="auto" w:fill="FFFFFF"/>
          </w:tcPr>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18 </w:t>
            </w:r>
            <w:proofErr w:type="spellStart"/>
            <w:r w:rsidRPr="00681935">
              <w:rPr>
                <w:rFonts w:ascii="Times New Roman" w:eastAsia="Cambria" w:hAnsi="Times New Roman" w:cs="Times New Roman"/>
              </w:rPr>
              <w:t>pasien</w:t>
            </w:r>
            <w:proofErr w:type="spellEnd"/>
            <w:r w:rsidRPr="00681935">
              <w:rPr>
                <w:rFonts w:ascii="Times New Roman" w:eastAsia="Cambria" w:hAnsi="Times New Roman" w:cs="Times New Roman"/>
              </w:rPr>
              <w:t xml:space="preserve"> yang </w:t>
            </w:r>
            <w:proofErr w:type="spellStart"/>
            <w:r w:rsidRPr="00681935">
              <w:rPr>
                <w:rFonts w:ascii="Times New Roman" w:eastAsia="Cambria" w:hAnsi="Times New Roman" w:cs="Times New Roman"/>
              </w:rPr>
              <w:t>mendapat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prosedur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perawatan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menggunakan</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mesh tray</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dengan</w:t>
            </w:r>
            <w:proofErr w:type="spellEnd"/>
            <w:r w:rsidRPr="00681935">
              <w:rPr>
                <w:rFonts w:ascii="Times New Roman" w:eastAsia="Cambria" w:hAnsi="Times New Roman" w:cs="Times New Roman"/>
              </w:rPr>
              <w:t xml:space="preserve"> PCBM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PRP </w:t>
            </w:r>
            <w:proofErr w:type="spellStart"/>
            <w:r w:rsidRPr="00681935">
              <w:rPr>
                <w:rFonts w:ascii="Times New Roman" w:eastAsia="Cambria" w:hAnsi="Times New Roman" w:cs="Times New Roman"/>
              </w:rPr>
              <w:t>kemudian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dibagi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menjadi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dua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yaitu</w:t>
            </w:r>
            <w:proofErr w:type="spellEnd"/>
            <w:r w:rsidRPr="00681935">
              <w:rPr>
                <w:rFonts w:ascii="Times New Roman" w:eastAsia="Cambria" w:hAnsi="Times New Roman" w:cs="Times New Roman"/>
              </w:rPr>
              <w:t>:</w:t>
            </w:r>
          </w:p>
          <w:p w:rsidR="00681935" w:rsidRPr="00681935" w:rsidRDefault="00681935" w:rsidP="00822EEA">
            <w:pPr>
              <w:numPr>
                <w:ilvl w:val="0"/>
                <w:numId w:val="3"/>
              </w:numPr>
              <w:ind w:left="138" w:hanging="14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A : </w:t>
            </w:r>
            <w:proofErr w:type="spellStart"/>
            <w:r w:rsidRPr="00681935">
              <w:rPr>
                <w:rFonts w:ascii="Times New Roman" w:eastAsia="Cambria" w:hAnsi="Times New Roman" w:cs="Times New Roman"/>
              </w:rPr>
              <w:t>dilakukan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secara</w:t>
            </w:r>
            <w:proofErr w:type="spellEnd"/>
            <w:r w:rsidRPr="00681935">
              <w:rPr>
                <w:rFonts w:ascii="Times New Roman" w:eastAsia="Cambria" w:hAnsi="Times New Roman" w:cs="Times New Roman"/>
              </w:rPr>
              <w:t xml:space="preserve"> intraoral </w:t>
            </w:r>
            <w:proofErr w:type="spellStart"/>
            <w:r w:rsidRPr="00681935">
              <w:rPr>
                <w:rFonts w:ascii="Times New Roman" w:eastAsia="Cambria" w:hAnsi="Times New Roman" w:cs="Times New Roman"/>
              </w:rPr>
              <w:t>maupun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ekstraoral</w:t>
            </w:r>
            <w:proofErr w:type="spellEnd"/>
          </w:p>
          <w:p w:rsidR="00681935" w:rsidRPr="00681935" w:rsidRDefault="00681935" w:rsidP="00822EEA">
            <w:pPr>
              <w:numPr>
                <w:ilvl w:val="0"/>
                <w:numId w:val="3"/>
              </w:numPr>
              <w:ind w:left="138" w:hanging="14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B : </w:t>
            </w:r>
            <w:proofErr w:type="spellStart"/>
            <w:r w:rsidRPr="00681935">
              <w:rPr>
                <w:rFonts w:ascii="Times New Roman" w:eastAsia="Cambria" w:hAnsi="Times New Roman" w:cs="Times New Roman"/>
              </w:rPr>
              <w:t>hanya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ekstraoral</w:t>
            </w:r>
            <w:proofErr w:type="spellEnd"/>
          </w:p>
          <w:p w:rsidR="00681935" w:rsidRPr="00681935" w:rsidRDefault="00681935" w:rsidP="00822EEA">
            <w:pPr>
              <w:ind w:left="-4"/>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proofErr w:type="gramStart"/>
            <w:r w:rsidRPr="00681935">
              <w:rPr>
                <w:rFonts w:ascii="Times New Roman" w:eastAsia="Cambria" w:hAnsi="Times New Roman" w:cs="Times New Roman"/>
              </w:rPr>
              <w:t>kemudian</w:t>
            </w:r>
            <w:proofErr w:type="spellEnd"/>
            <w:proofErr w:type="gram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observasi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komplikasi</w:t>
            </w:r>
            <w:proofErr w:type="spellEnd"/>
            <w:r w:rsidRPr="00681935">
              <w:rPr>
                <w:rFonts w:ascii="Times New Roman" w:eastAsia="Cambria" w:hAnsi="Times New Roman" w:cs="Times New Roman"/>
              </w:rPr>
              <w:t xml:space="preserve"> yang </w:t>
            </w:r>
            <w:proofErr w:type="spellStart"/>
            <w:r w:rsidRPr="00681935">
              <w:rPr>
                <w:rFonts w:ascii="Times New Roman" w:eastAsia="Cambria" w:hAnsi="Times New Roman" w:cs="Times New Roman"/>
              </w:rPr>
              <w:t>terjadi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melalui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pemeriksaan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klinis</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serta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menilai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pembentukan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melalui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foto</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panoramik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ataupun</w:t>
            </w:r>
            <w:proofErr w:type="spellEnd"/>
            <w:r w:rsidRPr="00681935">
              <w:rPr>
                <w:rFonts w:ascii="Times New Roman" w:eastAsia="Cambria" w:hAnsi="Times New Roman" w:cs="Times New Roman"/>
              </w:rPr>
              <w:t xml:space="preserve"> CBCT yang </w:t>
            </w:r>
            <w:proofErr w:type="spellStart"/>
            <w:r w:rsidRPr="00681935">
              <w:rPr>
                <w:rFonts w:ascii="Times New Roman" w:eastAsia="Cambria" w:hAnsi="Times New Roman" w:cs="Times New Roman"/>
              </w:rPr>
              <w:t>dilakukan</w:t>
            </w:r>
            <w:proofErr w:type="spellEnd"/>
            <w:r w:rsidRPr="00681935">
              <w:rPr>
                <w:rFonts w:ascii="Times New Roman" w:eastAsia="Cambria" w:hAnsi="Times New Roman" w:cs="Times New Roman"/>
              </w:rPr>
              <w:t xml:space="preserve"> 6-12 </w:t>
            </w:r>
            <w:proofErr w:type="spellStart"/>
            <w:r w:rsidRPr="00681935">
              <w:rPr>
                <w:rFonts w:ascii="Times New Roman" w:eastAsia="Cambria" w:hAnsi="Times New Roman" w:cs="Times New Roman"/>
              </w:rPr>
              <w:t>bulan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pasca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operasi</w:t>
            </w:r>
            <w:proofErr w:type="spellEnd"/>
            <w:r w:rsidRPr="00681935">
              <w:rPr>
                <w:rFonts w:ascii="Times New Roman" w:eastAsia="Cambria" w:hAnsi="Times New Roman" w:cs="Times New Roman"/>
              </w:rPr>
              <w:t>.</w:t>
            </w:r>
          </w:p>
          <w:p w:rsidR="00681935" w:rsidRPr="00681935" w:rsidRDefault="00681935" w:rsidP="00822EEA">
            <w:pPr>
              <w:ind w:left="-4"/>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
          <w:p w:rsidR="00681935" w:rsidRPr="00681935" w:rsidRDefault="00681935" w:rsidP="00822EEA">
            <w:pPr>
              <w:ind w:left="-4"/>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Sampel</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 xml:space="preserve">Particulate </w:t>
            </w:r>
            <w:proofErr w:type="spellStart"/>
            <w:r w:rsidRPr="00681935">
              <w:rPr>
                <w:rFonts w:ascii="Times New Roman" w:eastAsia="Cambria" w:hAnsi="Times New Roman" w:cs="Times New Roman"/>
                <w:i/>
              </w:rPr>
              <w:t>Cancelous</w:t>
            </w:r>
            <w:proofErr w:type="spellEnd"/>
            <w:r w:rsidRPr="00681935">
              <w:rPr>
                <w:rFonts w:ascii="Times New Roman" w:eastAsia="Cambria" w:hAnsi="Times New Roman" w:cs="Times New Roman"/>
                <w:i/>
              </w:rPr>
              <w:t xml:space="preserve"> Bone and Marrow (PCBM)</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diambil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puncak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panggul</w:t>
            </w:r>
            <w:proofErr w:type="spellEnd"/>
            <w:r w:rsidRPr="00681935">
              <w:rPr>
                <w:rFonts w:ascii="Times New Roman" w:eastAsia="Cambria" w:hAnsi="Times New Roman" w:cs="Times New Roman"/>
              </w:rPr>
              <w:t xml:space="preserve"> (iliac crest) yang </w:t>
            </w:r>
            <w:proofErr w:type="spellStart"/>
            <w:r w:rsidRPr="00681935">
              <w:rPr>
                <w:rFonts w:ascii="Times New Roman" w:eastAsia="Cambria" w:hAnsi="Times New Roman" w:cs="Times New Roman"/>
              </w:rPr>
              <w:t>telah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diproses</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lastRenderedPageBreak/>
              <w:t>sebelumnya</w:t>
            </w:r>
            <w:proofErr w:type="spellEnd"/>
            <w:r w:rsidRPr="00681935">
              <w:rPr>
                <w:rFonts w:ascii="Times New Roman" w:eastAsia="Cambria" w:hAnsi="Times New Roman" w:cs="Times New Roman"/>
              </w:rPr>
              <w:t>.</w:t>
            </w:r>
          </w:p>
        </w:tc>
        <w:tc>
          <w:tcPr>
            <w:tcW w:w="2357" w:type="dxa"/>
            <w:tcBorders>
              <w:top w:val="nil"/>
              <w:left w:val="nil"/>
              <w:bottom w:val="nil"/>
              <w:right w:val="nil"/>
            </w:tcBorders>
            <w:shd w:val="clear" w:color="auto" w:fill="FFFFFF"/>
          </w:tcPr>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lastRenderedPageBreak/>
              <w:t>Tidak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didapatkan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perbedaan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signifikan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2 </w:t>
            </w: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kecuali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segi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waktu</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perbaikan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Terdapat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komplikasi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setelah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operasi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seperti</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wound dehiscence</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pembukaan</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tray</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infeksi</w:t>
            </w:r>
            <w:proofErr w:type="spellEnd"/>
            <w:r w:rsidRPr="00681935">
              <w:rPr>
                <w:rFonts w:ascii="Times New Roman" w:eastAsia="Cambria" w:hAnsi="Times New Roman" w:cs="Times New Roman"/>
              </w:rPr>
              <w:t>.</w:t>
            </w:r>
          </w:p>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Nilai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komplikasi</w:t>
            </w:r>
            <w:proofErr w:type="spellEnd"/>
            <w:r w:rsidRPr="00681935">
              <w:rPr>
                <w:rFonts w:ascii="Times New Roman" w:eastAsia="Cambria" w:hAnsi="Times New Roman" w:cs="Times New Roman"/>
              </w:rPr>
              <w:t xml:space="preserve"> :</w:t>
            </w:r>
          </w:p>
          <w:p w:rsidR="00681935" w:rsidRPr="00681935" w:rsidRDefault="00681935" w:rsidP="00822EEA">
            <w:pPr>
              <w:numPr>
                <w:ilvl w:val="0"/>
                <w:numId w:val="3"/>
              </w:numPr>
              <w:ind w:left="212" w:hanging="218"/>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1 : 30%</w:t>
            </w:r>
          </w:p>
          <w:p w:rsidR="00681935" w:rsidRPr="00681935" w:rsidRDefault="00681935" w:rsidP="00822EEA">
            <w:pPr>
              <w:numPr>
                <w:ilvl w:val="0"/>
                <w:numId w:val="3"/>
              </w:numPr>
              <w:ind w:left="212" w:hanging="218"/>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2: 0%</w:t>
            </w:r>
          </w:p>
          <w:p w:rsidR="00681935" w:rsidRPr="00681935" w:rsidRDefault="00681935" w:rsidP="00822EEA">
            <w:pPr>
              <w:ind w:left="-6"/>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Pembentukan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w:t>
            </w:r>
          </w:p>
          <w:p w:rsidR="00681935" w:rsidRPr="00681935" w:rsidRDefault="00681935" w:rsidP="00822EEA">
            <w:pPr>
              <w:numPr>
                <w:ilvl w:val="0"/>
                <w:numId w:val="3"/>
              </w:numPr>
              <w:ind w:left="212" w:hanging="21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1 : 100%</w:t>
            </w:r>
          </w:p>
          <w:p w:rsidR="00681935" w:rsidRPr="00681935" w:rsidRDefault="00681935" w:rsidP="00822EEA">
            <w:pPr>
              <w:numPr>
                <w:ilvl w:val="0"/>
                <w:numId w:val="3"/>
              </w:numPr>
              <w:ind w:left="212" w:hanging="21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2 : 87,5%</w:t>
            </w:r>
          </w:p>
        </w:tc>
        <w:tc>
          <w:tcPr>
            <w:tcW w:w="1780"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Perbaikan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mandibula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menggunakan</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 xml:space="preserve">tray </w:t>
            </w:r>
            <w:r w:rsidRPr="00681935">
              <w:rPr>
                <w:rFonts w:ascii="Times New Roman" w:eastAsia="Cambria" w:hAnsi="Times New Roman" w:cs="Times New Roman"/>
              </w:rPr>
              <w:t xml:space="preserve">yang </w:t>
            </w:r>
            <w:proofErr w:type="spellStart"/>
            <w:r w:rsidRPr="00681935">
              <w:rPr>
                <w:rFonts w:ascii="Times New Roman" w:eastAsia="Cambria" w:hAnsi="Times New Roman" w:cs="Times New Roman"/>
              </w:rPr>
              <w:t>diisi</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 xml:space="preserve">Particulate </w:t>
            </w:r>
            <w:proofErr w:type="spellStart"/>
            <w:r w:rsidRPr="00681935">
              <w:rPr>
                <w:rFonts w:ascii="Times New Roman" w:eastAsia="Cambria" w:hAnsi="Times New Roman" w:cs="Times New Roman"/>
                <w:i/>
              </w:rPr>
              <w:t>Cancelous</w:t>
            </w:r>
            <w:proofErr w:type="spellEnd"/>
            <w:r w:rsidRPr="00681935">
              <w:rPr>
                <w:rFonts w:ascii="Times New Roman" w:eastAsia="Cambria" w:hAnsi="Times New Roman" w:cs="Times New Roman"/>
                <w:i/>
              </w:rPr>
              <w:t xml:space="preserve"> Bone and Marrow </w:t>
            </w:r>
            <w:r w:rsidRPr="00681935">
              <w:rPr>
                <w:rFonts w:ascii="Times New Roman" w:eastAsia="Cambria" w:hAnsi="Times New Roman" w:cs="Times New Roman"/>
              </w:rPr>
              <w:t xml:space="preserve">(PCBM), </w:t>
            </w:r>
            <w:r w:rsidRPr="00681935">
              <w:rPr>
                <w:rFonts w:ascii="Times New Roman" w:eastAsia="Cambria" w:hAnsi="Times New Roman" w:cs="Times New Roman"/>
                <w:i/>
              </w:rPr>
              <w:t xml:space="preserve">platelet rich plasma </w:t>
            </w:r>
            <w:r w:rsidRPr="00681935">
              <w:rPr>
                <w:rFonts w:ascii="Times New Roman" w:eastAsia="Cambria" w:hAnsi="Times New Roman" w:cs="Times New Roman"/>
              </w:rPr>
              <w:t xml:space="preserve"> (PRP) </w:t>
            </w:r>
            <w:proofErr w:type="spellStart"/>
            <w:r w:rsidRPr="00681935">
              <w:rPr>
                <w:rFonts w:ascii="Times New Roman" w:eastAsia="Cambria" w:hAnsi="Times New Roman" w:cs="Times New Roman"/>
              </w:rPr>
              <w:t>aman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dapat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diandalkan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untuk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kasus</w:t>
            </w:r>
            <w:proofErr w:type="spellEnd"/>
            <w:r w:rsidRPr="00681935">
              <w:rPr>
                <w:rFonts w:ascii="Times New Roman" w:eastAsia="Cambria" w:hAnsi="Times New Roman" w:cs="Times New Roman"/>
              </w:rPr>
              <w:t xml:space="preserve"> tumor </w:t>
            </w:r>
            <w:proofErr w:type="spellStart"/>
            <w:r w:rsidRPr="00681935">
              <w:rPr>
                <w:rFonts w:ascii="Times New Roman" w:eastAsia="Cambria" w:hAnsi="Times New Roman" w:cs="Times New Roman"/>
              </w:rPr>
              <w:t>jinak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trauma, </w:t>
            </w:r>
            <w:proofErr w:type="spellStart"/>
            <w:r w:rsidRPr="00681935">
              <w:rPr>
                <w:rFonts w:ascii="Times New Roman" w:eastAsia="Cambria" w:hAnsi="Times New Roman" w:cs="Times New Roman"/>
              </w:rPr>
              <w:t>meskipun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perbaikan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lebih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lastRenderedPageBreak/>
              <w:t>cepat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terlihat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dengan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metode</w:t>
            </w:r>
            <w:proofErr w:type="spellEnd"/>
            <w:r w:rsidRPr="00681935">
              <w:rPr>
                <w:rFonts w:ascii="Times New Roman" w:eastAsia="Cambria" w:hAnsi="Times New Roman" w:cs="Times New Roman"/>
              </w:rPr>
              <w:t xml:space="preserve"> intraoral. </w:t>
            </w:r>
          </w:p>
        </w:tc>
      </w:tr>
      <w:tr w:rsidR="00681935" w:rsidRPr="00681935" w:rsidTr="001C673D">
        <w:trPr>
          <w:trHeight w:val="2052"/>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shd w:val="clear" w:color="auto" w:fill="FFFFFF"/>
          </w:tcPr>
          <w:p w:rsidR="00681935" w:rsidRPr="00681935" w:rsidRDefault="00681935" w:rsidP="00822EEA">
            <w:pPr>
              <w:rPr>
                <w:rFonts w:ascii="Times New Roman" w:eastAsia="Cambria" w:hAnsi="Times New Roman" w:cs="Times New Roman"/>
                <w:b w:val="0"/>
              </w:rPr>
            </w:pPr>
            <w:r w:rsidRPr="00681935">
              <w:rPr>
                <w:rFonts w:ascii="Times New Roman" w:eastAsia="Cambria" w:hAnsi="Times New Roman" w:cs="Times New Roman"/>
                <w:b w:val="0"/>
              </w:rPr>
              <w:lastRenderedPageBreak/>
              <w:t xml:space="preserve">Lynn, </w:t>
            </w:r>
            <w:r w:rsidRPr="00681935">
              <w:rPr>
                <w:rFonts w:ascii="Times New Roman" w:eastAsia="Cambria" w:hAnsi="Times New Roman" w:cs="Times New Roman"/>
                <w:b w:val="0"/>
                <w:i/>
              </w:rPr>
              <w:t>et al.</w:t>
            </w:r>
            <w:r w:rsidRPr="00681935">
              <w:rPr>
                <w:rFonts w:ascii="Times New Roman" w:eastAsia="Cambria" w:hAnsi="Times New Roman" w:cs="Times New Roman"/>
                <w:i/>
              </w:rPr>
              <w:fldChar w:fldCharType="begin" w:fldLock="1"/>
            </w:r>
            <w:r w:rsidRPr="00681935">
              <w:rPr>
                <w:rFonts w:ascii="Times New Roman" w:eastAsia="Cambria" w:hAnsi="Times New Roman" w:cs="Times New Roman"/>
                <w:b w:val="0"/>
                <w:i/>
              </w:rPr>
              <w:instrText>ADDIN CSL_CITATION {"citationItems":[{"id":"ITEM-1","itemData":{"DOI":"10.1097/SAP.0000000000002354","ISBN":"0000000000","ISSN":"15363708","PMID":"32187072","abstract":"Adipose-derived stem cells mitigate deleterious effects of radiation on bone and enhance radiated fracture healing by replacing damaged cells and stimulating angiogenesis. However, adipose-derived stem cell harvest and delivery techniques must be refined to comply with the US Food and Drug Administration restrictions on implantation of cultured cells into human subjects prior to clinical translation. The purpose of this study is to demonstrate the preservation of efficacy of adipose-derived stem cells to remediate the injurious effects of radiation on fracture healing utilizing a novel harvest and delivery technique that avoids the need for cell culture. Forty-four Lewis rats were divided into 4 groups: Fracture control (Fx), radiated fracture control (XFx), radiated fracture treated with cultured adipose-derived stem cells (ASC), and radiated fracture treated with noncultured minimally processed adipose-derived stem cells (MP-ASC). Excluding the Fx group, all rats received a fractionated human-equivalent dose of radiation. All groups underwent mandibular osteotomy with external fixation. Following sacrifice on postoperative day 40, union rate, mineralization, and biomechanical strength were compared between groups at P &lt; 0.05 significance. Compared with Fx controls, the XFx group demonstrated decreased union rate (100% vs 20%), bone volume fraction (P = 0.003), and ultimate load (P &lt; 0.001). Compared with XFx controls, the MP-ASC group tripled the union rate (20% vs 60%) and demonstrated statistically significant increases in both bone volume fraction (P = 0.005) and ultimate load (P = 0.025). Compared with the MP-ASC group, the ASC group showed increased union rate (60% vs 100%) and no significant difference in bone volume fraction (P = 0.936) and ultimate load (P = 0.202). Noncultured minimally processed adipose-derived stem cells demonstrate the capacity to improve irradiated fracture healing without the need for cell proliferation in culture. Further refinement of the cell harvest and delivery techniques demonstrated in this report will enhance the ability of noncultured minimally processed adipose-derived stem cells to improve union rate and bone quality, thereby optimizing clinical translation.","author":[{"dropping-particle":"V.","family":"Lynn","given":"Jeremy","non-dropping-particle":"","parse-names":false,"suffix":""},{"dropping-particle":"","family":"Ranganathan","given":"Kavitha","non-dropping-particle":"","parse-names":false,"suffix":""},{"dropping-particle":"","family":"Urlaub","given":"Kevin M.","non-dropping-particle":"","parse-names":false,"suffix":""},{"dropping-particle":"","family":"Luby","given":"Alexandra O.","non-dropping-particle":"","parse-names":false,"suffix":""},{"dropping-particle":"","family":"Stephan","given":"Chris J.","non-dropping-particle":"","parse-names":false,"suffix":""},{"dropping-particle":"","family":"Donneys","given":"Alexis","non-dropping-particle":"","parse-names":false,"suffix":""},{"dropping-particle":"","family":"Nelson","given":"Noah S.","non-dropping-particle":"","parse-names":false,"suffix":""},{"dropping-particle":"","family":"Buchman","given":"Steven R.","non-dropping-particle":"","parse-names":false,"suffix":""}],"container-title":"Annals of Plastic Surgery","id":"ITEM-1","issue":"1","issued":{"date-parts":[["2020"]]},"page":"83-88","title":"Noncultured Minimally Processed Adipose-Derived Stem Cells Improve Radiated Fracture Healing","type":"article-journal","volume":"85"},"uris":["http://www.mendeley.com/documents/?uuid=85fee9c0-b4ca-4b75-8f78-ba7b9ddbc743"]}],"mendeley":{"formattedCitation":"&lt;sup&gt;19&lt;/sup&gt;","plainTextFormattedCitation":"19","previouslyFormattedCitation":"&lt;sup&gt;19&lt;/sup&gt;"},"properties":{"noteIndex":0},"schema":"https://github.com/citation-style-language/schema/raw/master/csl-citation.json"}</w:instrText>
            </w:r>
            <w:r w:rsidRPr="00681935">
              <w:rPr>
                <w:rFonts w:ascii="Times New Roman" w:eastAsia="Cambria" w:hAnsi="Times New Roman" w:cs="Times New Roman"/>
                <w:i/>
              </w:rPr>
              <w:fldChar w:fldCharType="separate"/>
            </w:r>
            <w:r w:rsidRPr="00681935">
              <w:rPr>
                <w:rFonts w:ascii="Times New Roman" w:eastAsia="Cambria" w:hAnsi="Times New Roman" w:cs="Times New Roman"/>
                <w:b w:val="0"/>
                <w:noProof/>
                <w:vertAlign w:val="superscript"/>
              </w:rPr>
              <w:t>19</w:t>
            </w:r>
            <w:r w:rsidRPr="00681935">
              <w:rPr>
                <w:rFonts w:ascii="Times New Roman" w:eastAsia="Cambria" w:hAnsi="Times New Roman" w:cs="Times New Roman"/>
                <w:i/>
              </w:rPr>
              <w:fldChar w:fldCharType="end"/>
            </w:r>
          </w:p>
          <w:p w:rsidR="00681935" w:rsidRPr="00681935" w:rsidRDefault="00681935" w:rsidP="00822EEA">
            <w:pPr>
              <w:rPr>
                <w:rFonts w:ascii="Times New Roman" w:eastAsia="Cambria" w:hAnsi="Times New Roman" w:cs="Times New Roman"/>
                <w:b w:val="0"/>
              </w:rPr>
            </w:pPr>
            <w:r w:rsidRPr="00681935">
              <w:rPr>
                <w:rFonts w:ascii="Times New Roman" w:eastAsia="Cambria" w:hAnsi="Times New Roman" w:cs="Times New Roman"/>
                <w:b w:val="0"/>
              </w:rPr>
              <w:t>(2020)</w:t>
            </w:r>
          </w:p>
        </w:tc>
        <w:tc>
          <w:tcPr>
            <w:tcW w:w="1215" w:type="dxa"/>
            <w:tcBorders>
              <w:top w:val="nil"/>
              <w:left w:val="nil"/>
              <w:bottom w:val="nil"/>
              <w:right w:val="nil"/>
            </w:tcBorders>
            <w:shd w:val="clear" w:color="auto" w:fill="FFFFFF"/>
          </w:tcPr>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Amerika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Serikat</w:t>
            </w:r>
            <w:proofErr w:type="spellEnd"/>
          </w:p>
        </w:tc>
        <w:tc>
          <w:tcPr>
            <w:tcW w:w="851" w:type="dxa"/>
            <w:tcBorders>
              <w:top w:val="nil"/>
              <w:left w:val="nil"/>
              <w:bottom w:val="nil"/>
              <w:right w:val="nil"/>
            </w:tcBorders>
            <w:shd w:val="clear" w:color="auto" w:fill="FFFFFF"/>
          </w:tcPr>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i/>
              </w:rPr>
              <w:t>Annals of Plastic Surgery</w:t>
            </w:r>
          </w:p>
        </w:tc>
        <w:tc>
          <w:tcPr>
            <w:tcW w:w="850"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Q2</w:t>
            </w:r>
          </w:p>
        </w:tc>
        <w:tc>
          <w:tcPr>
            <w:tcW w:w="1224" w:type="dxa"/>
            <w:tcBorders>
              <w:top w:val="nil"/>
              <w:left w:val="nil"/>
              <w:bottom w:val="nil"/>
              <w:right w:val="nil"/>
            </w:tcBorders>
            <w:shd w:val="clear" w:color="auto" w:fill="FFFFFF"/>
          </w:tcPr>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i/>
              </w:rPr>
            </w:pPr>
            <w:proofErr w:type="spellStart"/>
            <w:r w:rsidRPr="00681935">
              <w:rPr>
                <w:rFonts w:ascii="Times New Roman" w:eastAsia="Cambria" w:hAnsi="Times New Roman" w:cs="Times New Roman"/>
                <w:i/>
              </w:rPr>
              <w:t>Noncultured</w:t>
            </w:r>
            <w:proofErr w:type="spellEnd"/>
            <w:r w:rsidRPr="00681935">
              <w:rPr>
                <w:rFonts w:ascii="Times New Roman" w:eastAsia="Cambria" w:hAnsi="Times New Roman" w:cs="Times New Roman"/>
                <w:i/>
              </w:rPr>
              <w:t xml:space="preserve"> Minimally Processed Adipose-Derived Stem Cells</w:t>
            </w: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i/>
              </w:rPr>
            </w:pPr>
            <w:r w:rsidRPr="00681935">
              <w:rPr>
                <w:rFonts w:ascii="Times New Roman" w:eastAsia="Cambria" w:hAnsi="Times New Roman" w:cs="Times New Roman"/>
                <w:i/>
              </w:rPr>
              <w:t>Improve Radiated Fracture Healing</w:t>
            </w:r>
          </w:p>
        </w:tc>
        <w:tc>
          <w:tcPr>
            <w:tcW w:w="903"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i/>
              </w:rPr>
            </w:pPr>
            <w:r w:rsidRPr="00681935">
              <w:rPr>
                <w:rFonts w:ascii="Times New Roman" w:eastAsia="Cambria" w:hAnsi="Times New Roman" w:cs="Times New Roman"/>
                <w:i/>
              </w:rPr>
              <w:t>Randomized clinical trial</w:t>
            </w:r>
          </w:p>
        </w:tc>
        <w:tc>
          <w:tcPr>
            <w:tcW w:w="2035"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Untuk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memperlihatkan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adanya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efisiensi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pemberian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i/>
              </w:rPr>
              <w:t>adiposed</w:t>
            </w:r>
            <w:proofErr w:type="spellEnd"/>
            <w:r w:rsidRPr="00681935">
              <w:rPr>
                <w:rFonts w:ascii="Times New Roman" w:eastAsia="Cambria" w:hAnsi="Times New Roman" w:cs="Times New Roman"/>
                <w:i/>
              </w:rPr>
              <w:t>-derived stem cells</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untuk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memulihkan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efek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luka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pada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saat</w:t>
            </w:r>
            <w:proofErr w:type="spellEnd"/>
            <w:r w:rsidRPr="00681935">
              <w:rPr>
                <w:rFonts w:ascii="Times New Roman" w:eastAsia="Cambria" w:hAnsi="Times New Roman" w:cs="Times New Roman"/>
              </w:rPr>
              <w:t xml:space="preserve"> proses </w:t>
            </w:r>
            <w:proofErr w:type="spellStart"/>
            <w:r w:rsidRPr="00681935">
              <w:rPr>
                <w:rFonts w:ascii="Times New Roman" w:eastAsia="Cambria" w:hAnsi="Times New Roman" w:cs="Times New Roman"/>
              </w:rPr>
              <w:t>radiasi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penyembuhan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luka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fraktur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tanpa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menggunakan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kultur</w:t>
            </w:r>
            <w:proofErr w:type="spellEnd"/>
            <w:r w:rsidRPr="00681935">
              <w:rPr>
                <w:rFonts w:ascii="Times New Roman" w:eastAsia="Cambria" w:hAnsi="Times New Roman" w:cs="Times New Roman"/>
              </w:rPr>
              <w:t>.</w:t>
            </w:r>
          </w:p>
        </w:tc>
        <w:tc>
          <w:tcPr>
            <w:tcW w:w="3942" w:type="dxa"/>
            <w:tcBorders>
              <w:top w:val="nil"/>
              <w:left w:val="nil"/>
              <w:bottom w:val="nil"/>
              <w:right w:val="nil"/>
            </w:tcBorders>
            <w:shd w:val="clear" w:color="auto" w:fill="FFFFFF"/>
          </w:tcPr>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44 </w:t>
            </w:r>
            <w:proofErr w:type="spellStart"/>
            <w:r w:rsidRPr="00681935">
              <w:rPr>
                <w:rFonts w:ascii="Times New Roman" w:eastAsia="Cambria" w:hAnsi="Times New Roman" w:cs="Times New Roman"/>
              </w:rPr>
              <w:t>tikus</w:t>
            </w:r>
            <w:proofErr w:type="spellEnd"/>
            <w:r w:rsidRPr="00681935">
              <w:rPr>
                <w:rFonts w:ascii="Times New Roman" w:eastAsia="Cambria" w:hAnsi="Times New Roman" w:cs="Times New Roman"/>
              </w:rPr>
              <w:t xml:space="preserve"> Lewis (350g) yang </w:t>
            </w:r>
            <w:proofErr w:type="spellStart"/>
            <w:r w:rsidRPr="00681935">
              <w:rPr>
                <w:rFonts w:ascii="Times New Roman" w:eastAsia="Cambria" w:hAnsi="Times New Roman" w:cs="Times New Roman"/>
              </w:rPr>
              <w:t>telah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dilakukan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osteotomi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fiksasi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eksternal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dibagi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secara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acak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menjadi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empat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yaitu</w:t>
            </w:r>
            <w:proofErr w:type="spellEnd"/>
            <w:r w:rsidRPr="00681935">
              <w:rPr>
                <w:rFonts w:ascii="Times New Roman" w:eastAsia="Cambria" w:hAnsi="Times New Roman" w:cs="Times New Roman"/>
              </w:rPr>
              <w:t xml:space="preserve"> </w:t>
            </w:r>
          </w:p>
          <w:p w:rsidR="00681935" w:rsidRPr="00681935" w:rsidRDefault="00681935" w:rsidP="00822EEA">
            <w:pPr>
              <w:numPr>
                <w:ilvl w:val="0"/>
                <w:numId w:val="3"/>
              </w:numPr>
              <w:ind w:left="155" w:hanging="14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fraktur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kontrol</w:t>
            </w:r>
            <w:proofErr w:type="spellEnd"/>
            <w:r w:rsidRPr="00681935">
              <w:rPr>
                <w:rFonts w:ascii="Times New Roman" w:eastAsia="Cambria" w:hAnsi="Times New Roman" w:cs="Times New Roman"/>
              </w:rPr>
              <w:t xml:space="preserve"> (FX)</w:t>
            </w:r>
          </w:p>
          <w:p w:rsidR="00681935" w:rsidRPr="00681935" w:rsidRDefault="00681935" w:rsidP="00822EEA">
            <w:pPr>
              <w:numPr>
                <w:ilvl w:val="0"/>
                <w:numId w:val="3"/>
              </w:numPr>
              <w:ind w:left="155" w:hanging="14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radiasi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fraktur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kontrol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XFx</w:t>
            </w:r>
            <w:proofErr w:type="spellEnd"/>
            <w:r w:rsidRPr="00681935">
              <w:rPr>
                <w:rFonts w:ascii="Times New Roman" w:eastAsia="Cambria" w:hAnsi="Times New Roman" w:cs="Times New Roman"/>
              </w:rPr>
              <w:t>)</w:t>
            </w:r>
          </w:p>
          <w:p w:rsidR="00681935" w:rsidRPr="00681935" w:rsidRDefault="00681935" w:rsidP="00822EEA">
            <w:pPr>
              <w:numPr>
                <w:ilvl w:val="0"/>
                <w:numId w:val="3"/>
              </w:numPr>
              <w:ind w:left="155" w:hanging="155"/>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Radiasi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fraktur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dengan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kultur</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adipose-derived stem cells</w:t>
            </w:r>
            <w:r w:rsidRPr="00681935">
              <w:rPr>
                <w:rFonts w:ascii="Times New Roman" w:eastAsia="Cambria" w:hAnsi="Times New Roman" w:cs="Times New Roman"/>
              </w:rPr>
              <w:t xml:space="preserve"> (ASC)</w:t>
            </w:r>
          </w:p>
          <w:p w:rsidR="00681935" w:rsidRPr="00681935" w:rsidRDefault="00681935" w:rsidP="00822EEA">
            <w:pPr>
              <w:numPr>
                <w:ilvl w:val="0"/>
                <w:numId w:val="3"/>
              </w:numPr>
              <w:ind w:left="155" w:hanging="155"/>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Radiasi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fraktur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dengan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nonkultur</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minimally  processed adipose-derived stem cells (MP-ASC)</w:t>
            </w: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Setelah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itu</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diteliti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dengan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membandingkan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kemampuan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kultur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sel</w:t>
            </w:r>
            <w:proofErr w:type="spellEnd"/>
            <w:r w:rsidRPr="00681935">
              <w:rPr>
                <w:rFonts w:ascii="Times New Roman" w:eastAsia="Cambria" w:hAnsi="Times New Roman" w:cs="Times New Roman"/>
              </w:rPr>
              <w:t xml:space="preserve"> </w:t>
            </w:r>
            <w:proofErr w:type="spellStart"/>
            <w:proofErr w:type="gramStart"/>
            <w:r w:rsidRPr="00681935">
              <w:rPr>
                <w:rFonts w:ascii="Times New Roman" w:eastAsia="Cambria" w:hAnsi="Times New Roman" w:cs="Times New Roman"/>
              </w:rPr>
              <w:t>nonkultur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untuk</w:t>
            </w:r>
            <w:proofErr w:type="spellEnd"/>
            <w:proofErr w:type="gram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dilihat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kemapuan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mineralisasi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kekuatan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regenerasi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peningkatan</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union rate</w:t>
            </w:r>
            <w:r w:rsidRPr="00681935">
              <w:rPr>
                <w:rFonts w:ascii="Times New Roman" w:eastAsia="Cambria" w:hAnsi="Times New Roman" w:cs="Times New Roman"/>
              </w:rPr>
              <w:t>.</w:t>
            </w: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Sampel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kultur</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 xml:space="preserve">adipose-derived stem cells </w:t>
            </w:r>
            <w:proofErr w:type="spellStart"/>
            <w:r w:rsidRPr="00681935">
              <w:rPr>
                <w:rFonts w:ascii="Times New Roman" w:eastAsia="Cambria" w:hAnsi="Times New Roman" w:cs="Times New Roman"/>
              </w:rPr>
              <w:t>diambil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bantalan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lemak</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inguinal</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tikus</w:t>
            </w:r>
            <w:proofErr w:type="spellEnd"/>
            <w:r w:rsidRPr="00681935">
              <w:rPr>
                <w:rFonts w:ascii="Times New Roman" w:eastAsia="Cambria" w:hAnsi="Times New Roman" w:cs="Times New Roman"/>
              </w:rPr>
              <w:t xml:space="preserve"> Lewis, </w:t>
            </w:r>
            <w:proofErr w:type="spellStart"/>
            <w:r w:rsidRPr="00681935">
              <w:rPr>
                <w:rFonts w:ascii="Times New Roman" w:eastAsia="Cambria" w:hAnsi="Times New Roman" w:cs="Times New Roman"/>
              </w:rPr>
              <w:t>sedangkan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nonkultur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didapatkan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adipose-derived stem cells</w:t>
            </w:r>
            <w:r w:rsidRPr="00681935">
              <w:rPr>
                <w:rFonts w:ascii="Times New Roman" w:eastAsia="Cambria" w:hAnsi="Times New Roman" w:cs="Times New Roman"/>
              </w:rPr>
              <w:t xml:space="preserve"> yang </w:t>
            </w:r>
            <w:proofErr w:type="spellStart"/>
            <w:r w:rsidRPr="00681935">
              <w:rPr>
                <w:rFonts w:ascii="Times New Roman" w:eastAsia="Cambria" w:hAnsi="Times New Roman" w:cs="Times New Roman"/>
              </w:rPr>
              <w:t>disentrifugasi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sel</w:t>
            </w:r>
            <w:proofErr w:type="spellEnd"/>
            <w:r w:rsidRPr="00681935">
              <w:rPr>
                <w:rFonts w:ascii="Times New Roman" w:eastAsia="Cambria" w:hAnsi="Times New Roman" w:cs="Times New Roman"/>
              </w:rPr>
              <w:t xml:space="preserve"> platelet </w:t>
            </w:r>
            <w:proofErr w:type="spellStart"/>
            <w:r w:rsidRPr="00681935">
              <w:rPr>
                <w:rFonts w:ascii="Times New Roman" w:eastAsia="Cambria" w:hAnsi="Times New Roman" w:cs="Times New Roman"/>
              </w:rPr>
              <w:t>diisolasi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tanpa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resuspensi</w:t>
            </w:r>
            <w:proofErr w:type="spellEnd"/>
          </w:p>
        </w:tc>
        <w:tc>
          <w:tcPr>
            <w:tcW w:w="2357" w:type="dxa"/>
            <w:tcBorders>
              <w:top w:val="nil"/>
              <w:left w:val="nil"/>
              <w:bottom w:val="nil"/>
              <w:right w:val="nil"/>
            </w:tcBorders>
            <w:shd w:val="clear" w:color="auto" w:fill="FFFFFF"/>
          </w:tcPr>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nonkultur</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 xml:space="preserve">minimally  processed adipose-derived stem cells (MP-ASC) </w:t>
            </w:r>
            <w:proofErr w:type="spellStart"/>
            <w:r w:rsidRPr="00681935">
              <w:rPr>
                <w:rFonts w:ascii="Times New Roman" w:eastAsia="Cambria" w:hAnsi="Times New Roman" w:cs="Times New Roman"/>
              </w:rPr>
              <w:t>memperlihatkan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kapasitas</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untuk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meningkatkan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penyembuhan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fraktur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terradiasi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tanpa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membutuhkan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proliferasi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kultur</w:t>
            </w:r>
            <w:proofErr w:type="spellEnd"/>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1. Tingkat </w:t>
            </w:r>
            <w:proofErr w:type="spellStart"/>
            <w:r w:rsidRPr="00681935">
              <w:rPr>
                <w:rFonts w:ascii="Times New Roman" w:eastAsia="Cambria" w:hAnsi="Times New Roman" w:cs="Times New Roman"/>
              </w:rPr>
              <w:t>penyatuan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p>
          <w:p w:rsidR="00681935" w:rsidRPr="00681935" w:rsidRDefault="00681935" w:rsidP="00822EEA">
            <w:pPr>
              <w:numPr>
                <w:ilvl w:val="0"/>
                <w:numId w:val="4"/>
              </w:numPr>
              <w:ind w:left="226" w:hanging="14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Fx</w:t>
            </w:r>
            <w:proofErr w:type="spellEnd"/>
            <w:r w:rsidRPr="00681935">
              <w:rPr>
                <w:rFonts w:ascii="Times New Roman" w:eastAsia="Cambria" w:hAnsi="Times New Roman" w:cs="Times New Roman"/>
              </w:rPr>
              <w:t>: 100%</w:t>
            </w:r>
          </w:p>
          <w:p w:rsidR="00681935" w:rsidRPr="00681935" w:rsidRDefault="00681935" w:rsidP="00822EEA">
            <w:pPr>
              <w:numPr>
                <w:ilvl w:val="0"/>
                <w:numId w:val="4"/>
              </w:numPr>
              <w:ind w:left="226" w:hanging="14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XFx</w:t>
            </w:r>
            <w:proofErr w:type="spellEnd"/>
            <w:r w:rsidRPr="00681935">
              <w:rPr>
                <w:rFonts w:ascii="Times New Roman" w:eastAsia="Cambria" w:hAnsi="Times New Roman" w:cs="Times New Roman"/>
              </w:rPr>
              <w:t>: 20%</w:t>
            </w:r>
          </w:p>
          <w:p w:rsidR="00681935" w:rsidRPr="00681935" w:rsidRDefault="00681935" w:rsidP="00822EEA">
            <w:pPr>
              <w:numPr>
                <w:ilvl w:val="0"/>
                <w:numId w:val="4"/>
              </w:numPr>
              <w:ind w:left="226" w:hanging="14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ASC: 100%</w:t>
            </w:r>
          </w:p>
          <w:p w:rsidR="00681935" w:rsidRPr="00681935" w:rsidRDefault="00681935" w:rsidP="00822EEA">
            <w:pPr>
              <w:numPr>
                <w:ilvl w:val="0"/>
                <w:numId w:val="4"/>
              </w:numPr>
              <w:ind w:left="226" w:hanging="142"/>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MP-ASC: 60%</w:t>
            </w: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Dibandingkan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dengan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ASC, </w:t>
            </w: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MP-ASC </w:t>
            </w:r>
            <w:proofErr w:type="spellStart"/>
            <w:r w:rsidRPr="00681935">
              <w:rPr>
                <w:rFonts w:ascii="Times New Roman" w:eastAsia="Cambria" w:hAnsi="Times New Roman" w:cs="Times New Roman"/>
              </w:rPr>
              <w:t>tidak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menunjukkan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adanya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perbedaan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statistik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dalam</w:t>
            </w:r>
            <w:proofErr w:type="spellEnd"/>
            <w:r w:rsidRPr="00681935">
              <w:rPr>
                <w:rFonts w:ascii="Times New Roman" w:eastAsia="Cambria" w:hAnsi="Times New Roman" w:cs="Times New Roman"/>
              </w:rPr>
              <w:t xml:space="preserve"> volume </w:t>
            </w:r>
            <w:proofErr w:type="spellStart"/>
            <w:r w:rsidRPr="00681935">
              <w:rPr>
                <w:rFonts w:ascii="Times New Roman" w:eastAsia="Cambria" w:hAnsi="Times New Roman" w:cs="Times New Roman"/>
              </w:rPr>
              <w:t>fraksi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atau</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kepadatan</w:t>
            </w:r>
            <w:proofErr w:type="spellEnd"/>
            <w:r w:rsidRPr="00681935">
              <w:rPr>
                <w:rFonts w:ascii="Times New Roman" w:eastAsia="Cambria" w:hAnsi="Times New Roman" w:cs="Times New Roman"/>
              </w:rPr>
              <w:t xml:space="preserve"> mineral </w:t>
            </w:r>
            <w:proofErr w:type="spellStart"/>
            <w:proofErr w:type="gram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w:t>
            </w:r>
            <w:proofErr w:type="gram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secara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signifikan</w:t>
            </w:r>
            <w:proofErr w:type="spellEnd"/>
            <w:r w:rsidRPr="00681935">
              <w:rPr>
                <w:rFonts w:ascii="Times New Roman" w:eastAsia="Cambria" w:hAnsi="Times New Roman" w:cs="Times New Roman"/>
              </w:rPr>
              <w:t xml:space="preserve"> MP-ASC </w:t>
            </w:r>
            <w:proofErr w:type="spellStart"/>
            <w:r w:rsidRPr="00681935">
              <w:rPr>
                <w:rFonts w:ascii="Times New Roman" w:eastAsia="Cambria" w:hAnsi="Times New Roman" w:cs="Times New Roman"/>
              </w:rPr>
              <w:t>meningkatkan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kepadatan</w:t>
            </w:r>
            <w:proofErr w:type="spellEnd"/>
            <w:r w:rsidRPr="00681935">
              <w:rPr>
                <w:rFonts w:ascii="Times New Roman" w:eastAsia="Cambria" w:hAnsi="Times New Roman" w:cs="Times New Roman"/>
              </w:rPr>
              <w:t xml:space="preserve"> mineral </w:t>
            </w:r>
            <w:proofErr w:type="spellStart"/>
            <w:r w:rsidRPr="00681935">
              <w:rPr>
                <w:rFonts w:ascii="Times New Roman" w:eastAsia="Cambria" w:hAnsi="Times New Roman" w:cs="Times New Roman"/>
              </w:rPr>
              <w:t>jaringan</w:t>
            </w:r>
            <w:proofErr w:type="spellEnd"/>
            <w:r w:rsidRPr="00681935">
              <w:rPr>
                <w:rFonts w:ascii="Times New Roman" w:eastAsia="Cambria" w:hAnsi="Times New Roman" w:cs="Times New Roman"/>
              </w:rPr>
              <w:t xml:space="preserve"> (765,3 </w:t>
            </w:r>
            <w:proofErr w:type="spellStart"/>
            <w:r w:rsidRPr="00681935">
              <w:rPr>
                <w:rFonts w:ascii="Times New Roman" w:eastAsia="Cambria" w:hAnsi="Times New Roman" w:cs="Times New Roman"/>
              </w:rPr>
              <w:t>vs</w:t>
            </w:r>
            <w:proofErr w:type="spellEnd"/>
            <w:r w:rsidRPr="00681935">
              <w:rPr>
                <w:rFonts w:ascii="Times New Roman" w:eastAsia="Cambria" w:hAnsi="Times New Roman" w:cs="Times New Roman"/>
              </w:rPr>
              <w:t xml:space="preserve"> 839,6mg/cm</w:t>
            </w:r>
            <w:r w:rsidRPr="00681935">
              <w:rPr>
                <w:rFonts w:ascii="Times New Roman" w:eastAsia="Cambria" w:hAnsi="Times New Roman" w:cs="Times New Roman"/>
                <w:vertAlign w:val="superscript"/>
              </w:rPr>
              <w:t>3</w:t>
            </w:r>
            <w:r w:rsidRPr="00681935">
              <w:rPr>
                <w:rFonts w:ascii="Times New Roman" w:eastAsia="Cambria" w:hAnsi="Times New Roman" w:cs="Times New Roman"/>
              </w:rPr>
              <w:t xml:space="preserve">). Hal </w:t>
            </w:r>
            <w:proofErr w:type="spellStart"/>
            <w:r w:rsidRPr="00681935">
              <w:rPr>
                <w:rFonts w:ascii="Times New Roman" w:eastAsia="Cambria" w:hAnsi="Times New Roman" w:cs="Times New Roman"/>
              </w:rPr>
              <w:t>ini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memunjukkan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jika</w:t>
            </w:r>
            <w:proofErr w:type="spellEnd"/>
            <w:r w:rsidRPr="00681935">
              <w:rPr>
                <w:rFonts w:ascii="Times New Roman" w:eastAsia="Cambria" w:hAnsi="Times New Roman" w:cs="Times New Roman"/>
              </w:rPr>
              <w:t xml:space="preserve"> non </w:t>
            </w:r>
            <w:proofErr w:type="spellStart"/>
            <w:r w:rsidRPr="00681935">
              <w:rPr>
                <w:rFonts w:ascii="Times New Roman" w:eastAsia="Cambria" w:hAnsi="Times New Roman" w:cs="Times New Roman"/>
              </w:rPr>
              <w:t>kultur</w:t>
            </w:r>
            <w:proofErr w:type="spellEnd"/>
            <w:r w:rsidRPr="00681935">
              <w:rPr>
                <w:rFonts w:ascii="Times New Roman" w:eastAsia="Cambria" w:hAnsi="Times New Roman" w:cs="Times New Roman"/>
              </w:rPr>
              <w:t xml:space="preserve"> MP-ASC </w:t>
            </w:r>
            <w:proofErr w:type="spellStart"/>
            <w:r w:rsidRPr="00681935">
              <w:rPr>
                <w:rFonts w:ascii="Times New Roman" w:eastAsia="Cambria" w:hAnsi="Times New Roman" w:cs="Times New Roman"/>
              </w:rPr>
              <w:t>efektif</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memfasilitasi</w:t>
            </w:r>
            <w:proofErr w:type="spellEnd"/>
            <w:r w:rsidRPr="00681935">
              <w:rPr>
                <w:rFonts w:ascii="Times New Roman" w:eastAsia="Cambria" w:hAnsi="Times New Roman" w:cs="Times New Roman"/>
              </w:rPr>
              <w:t xml:space="preserve"> proses </w:t>
            </w:r>
            <w:proofErr w:type="spellStart"/>
            <w:r w:rsidRPr="00681935">
              <w:rPr>
                <w:rFonts w:ascii="Times New Roman" w:eastAsia="Cambria" w:hAnsi="Times New Roman" w:cs="Times New Roman"/>
              </w:rPr>
              <w:t>remineralisasi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p>
        </w:tc>
        <w:tc>
          <w:tcPr>
            <w:tcW w:w="1780" w:type="dxa"/>
            <w:tcBorders>
              <w:top w:val="nil"/>
              <w:left w:val="nil"/>
              <w:bottom w:val="nil"/>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proofErr w:type="gramStart"/>
            <w:r w:rsidRPr="00681935">
              <w:rPr>
                <w:rFonts w:ascii="Times New Roman" w:eastAsia="Cambria" w:hAnsi="Times New Roman" w:cs="Times New Roman"/>
              </w:rPr>
              <w:t>nonkultur</w:t>
            </w:r>
            <w:proofErr w:type="spellEnd"/>
            <w:proofErr w:type="gramEnd"/>
            <w:r w:rsidRPr="00681935">
              <w:rPr>
                <w:rFonts w:ascii="Times New Roman" w:eastAsia="Cambria" w:hAnsi="Times New Roman" w:cs="Times New Roman"/>
              </w:rPr>
              <w:t xml:space="preserve"> </w:t>
            </w:r>
            <w:r w:rsidRPr="00681935">
              <w:rPr>
                <w:rFonts w:ascii="Times New Roman" w:eastAsia="Cambria" w:hAnsi="Times New Roman" w:cs="Times New Roman"/>
                <w:i/>
              </w:rPr>
              <w:t>minimally  processed adipose-derived stem cells (MP-ASC)</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meningkatkan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tingkat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penyatuan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efektif</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dalam</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memfasilitasi</w:t>
            </w:r>
            <w:proofErr w:type="spellEnd"/>
            <w:r w:rsidRPr="00681935">
              <w:rPr>
                <w:rFonts w:ascii="Times New Roman" w:eastAsia="Cambria" w:hAnsi="Times New Roman" w:cs="Times New Roman"/>
              </w:rPr>
              <w:t xml:space="preserve"> proses </w:t>
            </w:r>
            <w:proofErr w:type="spellStart"/>
            <w:r w:rsidRPr="00681935">
              <w:rPr>
                <w:rFonts w:ascii="Times New Roman" w:eastAsia="Cambria" w:hAnsi="Times New Roman" w:cs="Times New Roman"/>
              </w:rPr>
              <w:t>remineralisasi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w:t>
            </w:r>
          </w:p>
        </w:tc>
      </w:tr>
      <w:tr w:rsidR="00681935" w:rsidRPr="00681935" w:rsidTr="001C673D">
        <w:trPr>
          <w:trHeight w:val="1560"/>
          <w:jc w:val="center"/>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single" w:sz="4" w:space="0" w:color="000000"/>
              <w:right w:val="nil"/>
            </w:tcBorders>
            <w:shd w:val="clear" w:color="auto" w:fill="FFFFFF"/>
          </w:tcPr>
          <w:p w:rsidR="00681935" w:rsidRPr="00681935" w:rsidRDefault="00681935" w:rsidP="00822EEA">
            <w:pPr>
              <w:rPr>
                <w:rFonts w:ascii="Times New Roman" w:eastAsia="Cambria" w:hAnsi="Times New Roman" w:cs="Times New Roman"/>
                <w:b w:val="0"/>
                <w:i/>
              </w:rPr>
            </w:pPr>
            <w:proofErr w:type="spellStart"/>
            <w:r w:rsidRPr="00681935">
              <w:rPr>
                <w:rFonts w:ascii="Times New Roman" w:eastAsia="Cambria" w:hAnsi="Times New Roman" w:cs="Times New Roman"/>
                <w:b w:val="0"/>
              </w:rPr>
              <w:lastRenderedPageBreak/>
              <w:t>Mannelli</w:t>
            </w:r>
            <w:proofErr w:type="spellEnd"/>
            <w:r w:rsidRPr="00681935">
              <w:rPr>
                <w:rFonts w:ascii="Times New Roman" w:eastAsia="Cambria" w:hAnsi="Times New Roman" w:cs="Times New Roman"/>
                <w:b w:val="0"/>
              </w:rPr>
              <w:t xml:space="preserve">, </w:t>
            </w:r>
            <w:r w:rsidRPr="00681935">
              <w:rPr>
                <w:rFonts w:ascii="Times New Roman" w:eastAsia="Cambria" w:hAnsi="Times New Roman" w:cs="Times New Roman"/>
                <w:b w:val="0"/>
                <w:i/>
              </w:rPr>
              <w:t>et al.</w:t>
            </w:r>
            <w:r w:rsidRPr="00681935">
              <w:rPr>
                <w:rFonts w:ascii="Times New Roman" w:eastAsia="Cambria" w:hAnsi="Times New Roman" w:cs="Times New Roman"/>
                <w:i/>
              </w:rPr>
              <w:fldChar w:fldCharType="begin" w:fldLock="1"/>
            </w:r>
            <w:r w:rsidRPr="00681935">
              <w:rPr>
                <w:rFonts w:ascii="Times New Roman" w:eastAsia="Cambria" w:hAnsi="Times New Roman" w:cs="Times New Roman"/>
                <w:b w:val="0"/>
                <w:i/>
              </w:rPr>
              <w:instrText>ADDIN CSL_CITATION {"citationItems":[{"id":"ITEM-1","itemData":{"DOI":"10.1016/j.jcms.2017.01.007","ISSN":"18784119","PMID":"28259617","abstract":"Purpose The treatment of fractures involves addressing the biology of fracture repair and the mechanical stability of fracture fixation. Traditionally it has included the addition of bone graft to enhance healing. New advances in the understanding of the cellular and molecular mechanisms of fracture repair have led to the use of growth factors to accelerate bone healing. This study aimed to assess the advantages of autologous stem cell use for atrophic mandibular fracture treatment in comparison to standard technique. Materials and methods A total of 35 patients (14 male and 21 female) were treated for fractures of atrophic mandibles between January 2011 and December 2014. Surgical technique provided mini-invasive open reduction with or without immediate homologous bone graft, while selected patients received autologous bone marrow aspirate cell grafts in addition to the standard treatment. Demographic data and details of treatment and outcomes were recorded. Results Patients were categorized according to the use of autologous stem cells, leaving 17 patients treated with standard technique and autologous stem cells (Group A) and 18 treated with standard osteosynthesis only (Group B). Of the 35 patients, 26 had bilateral fractures; most patients had significant medical co-morbidities. Immediate bone graft was used in 37.1% of patients (7 in group A and 6 in group B). Complications occurred in 5 patients (14.3%). Two patients in group B (11.1%) showed non-union of the fracture. One patient in group A (5.8%) and one patient in group B (5.5%) showed wound dehiscence and were treated conservatively; one patient in group B had a local infection (5.5%), one out of 35 (2.8%), that was managed by prolonged antibiotic treatment. Conclusions Despite the advanced age and medical co-morbidities of the vast majority of patients, mini-invasive open approach with autologous bone graft ensures a fast and excellent recovery. Moreover, the management of atrophic mandibular fractures by bone marrow aspirate cells is a safe and useful procedure which has a lower complication rate when compared to standard technique.","author":[{"dropping-particle":"","family":"Mannelli","given":"Giuditta","non-dropping-particle":"","parse-names":false,"suffix":""},{"dropping-particle":"","family":"Arcuri","given":"Francesco","non-dropping-particle":"","parse-names":false,"suffix":""},{"dropping-particle":"","family":"Conti","given":"Marco","non-dropping-particle":"","parse-names":false,"suffix":""},{"dropping-particle":"","family":"Agostini","given":"Tommaso","non-dropping-particle":"","parse-names":false,"suffix":""},{"dropping-particle":"","family":"Raffaini","given":"Mirco","non-dropping-particle":"","parse-names":false,"suffix":""},{"dropping-particle":"","family":"Spinelli","given":"Giuseppe","non-dropping-particle":"","parse-names":false,"suffix":""}],"container-title":"Journal of Cranio-Maxillofacial Surgery","id":"ITEM-1","issue":"5","issued":{"date-parts":[["2017"]]},"page":"694-703","publisher":"Elsevier Ltd","title":"The role of bone marrow aspirate cells in the management of atrophic mandibular fractures by mini-invasive surgical approach: Single-institution experience","type":"article-journal","volume":"45"},"uris":["http://www.mendeley.com/documents/?uuid=fbb0ac9f-72a0-4a39-9ecc-130ad13ee772"]}],"mendeley":{"formattedCitation":"&lt;sup&gt;20&lt;/sup&gt;","plainTextFormattedCitation":"20","previouslyFormattedCitation":"&lt;sup&gt;20&lt;/sup&gt;"},"properties":{"noteIndex":0},"schema":"https://github.com/citation-style-language/schema/raw/master/csl-citation.json"}</w:instrText>
            </w:r>
            <w:r w:rsidRPr="00681935">
              <w:rPr>
                <w:rFonts w:ascii="Times New Roman" w:eastAsia="Cambria" w:hAnsi="Times New Roman" w:cs="Times New Roman"/>
                <w:i/>
              </w:rPr>
              <w:fldChar w:fldCharType="separate"/>
            </w:r>
            <w:r w:rsidRPr="00681935">
              <w:rPr>
                <w:rFonts w:ascii="Times New Roman" w:eastAsia="Cambria" w:hAnsi="Times New Roman" w:cs="Times New Roman"/>
                <w:b w:val="0"/>
                <w:noProof/>
                <w:vertAlign w:val="superscript"/>
              </w:rPr>
              <w:t>20</w:t>
            </w:r>
            <w:r w:rsidRPr="00681935">
              <w:rPr>
                <w:rFonts w:ascii="Times New Roman" w:eastAsia="Cambria" w:hAnsi="Times New Roman" w:cs="Times New Roman"/>
                <w:i/>
              </w:rPr>
              <w:fldChar w:fldCharType="end"/>
            </w:r>
            <w:r w:rsidRPr="00681935">
              <w:rPr>
                <w:rFonts w:ascii="Times New Roman" w:eastAsia="Cambria" w:hAnsi="Times New Roman" w:cs="Times New Roman"/>
                <w:b w:val="0"/>
                <w:i/>
              </w:rPr>
              <w:t xml:space="preserve"> </w:t>
            </w:r>
          </w:p>
          <w:p w:rsidR="00681935" w:rsidRPr="00681935" w:rsidRDefault="00681935" w:rsidP="00822EEA">
            <w:pPr>
              <w:rPr>
                <w:rFonts w:ascii="Times New Roman" w:eastAsia="Cambria" w:hAnsi="Times New Roman" w:cs="Times New Roman"/>
                <w:b w:val="0"/>
              </w:rPr>
            </w:pPr>
            <w:r w:rsidRPr="00681935">
              <w:rPr>
                <w:rFonts w:ascii="Times New Roman" w:eastAsia="Cambria" w:hAnsi="Times New Roman" w:cs="Times New Roman"/>
                <w:b w:val="0"/>
              </w:rPr>
              <w:t>(2017)</w:t>
            </w:r>
          </w:p>
        </w:tc>
        <w:tc>
          <w:tcPr>
            <w:tcW w:w="1215" w:type="dxa"/>
            <w:tcBorders>
              <w:top w:val="nil"/>
              <w:left w:val="nil"/>
              <w:bottom w:val="single" w:sz="4" w:space="0" w:color="000000"/>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Italia</w:t>
            </w:r>
          </w:p>
        </w:tc>
        <w:tc>
          <w:tcPr>
            <w:tcW w:w="851" w:type="dxa"/>
            <w:tcBorders>
              <w:top w:val="nil"/>
              <w:left w:val="nil"/>
              <w:bottom w:val="single" w:sz="4" w:space="0" w:color="000000"/>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i/>
              </w:rPr>
            </w:pPr>
            <w:r w:rsidRPr="00681935">
              <w:rPr>
                <w:rFonts w:ascii="Times New Roman" w:eastAsia="Cambria" w:hAnsi="Times New Roman" w:cs="Times New Roman"/>
                <w:i/>
              </w:rPr>
              <w:t xml:space="preserve">Journal of </w:t>
            </w:r>
            <w:proofErr w:type="spellStart"/>
            <w:r w:rsidRPr="00681935">
              <w:rPr>
                <w:rFonts w:ascii="Times New Roman" w:eastAsia="Cambria" w:hAnsi="Times New Roman" w:cs="Times New Roman"/>
                <w:i/>
              </w:rPr>
              <w:t>Cranio</w:t>
            </w:r>
            <w:proofErr w:type="spellEnd"/>
            <w:r w:rsidRPr="00681935">
              <w:rPr>
                <w:rFonts w:ascii="Times New Roman" w:eastAsia="Cambria" w:hAnsi="Times New Roman" w:cs="Times New Roman"/>
                <w:i/>
              </w:rPr>
              <w:t>-</w:t>
            </w:r>
            <w:proofErr w:type="spellStart"/>
            <w:r w:rsidRPr="00681935">
              <w:rPr>
                <w:rFonts w:ascii="Times New Roman" w:eastAsia="Cambria" w:hAnsi="Times New Roman" w:cs="Times New Roman"/>
                <w:i/>
              </w:rPr>
              <w:t>Maxillo</w:t>
            </w:r>
            <w:proofErr w:type="spellEnd"/>
            <w:r w:rsidRPr="00681935">
              <w:rPr>
                <w:rFonts w:ascii="Times New Roman" w:eastAsia="Cambria" w:hAnsi="Times New Roman" w:cs="Times New Roman"/>
                <w:i/>
              </w:rPr>
              <w:t>-Facial Surgery</w:t>
            </w:r>
          </w:p>
        </w:tc>
        <w:tc>
          <w:tcPr>
            <w:tcW w:w="850" w:type="dxa"/>
            <w:tcBorders>
              <w:top w:val="nil"/>
              <w:left w:val="nil"/>
              <w:bottom w:val="single" w:sz="4" w:space="0" w:color="000000"/>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Q1</w:t>
            </w:r>
          </w:p>
        </w:tc>
        <w:tc>
          <w:tcPr>
            <w:tcW w:w="1224" w:type="dxa"/>
            <w:tcBorders>
              <w:top w:val="nil"/>
              <w:left w:val="nil"/>
              <w:bottom w:val="single" w:sz="4" w:space="0" w:color="000000"/>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i/>
              </w:rPr>
            </w:pPr>
            <w:r w:rsidRPr="00681935">
              <w:rPr>
                <w:rFonts w:ascii="Times New Roman" w:eastAsia="Cambria" w:hAnsi="Times New Roman" w:cs="Times New Roman"/>
                <w:i/>
              </w:rPr>
              <w:t>The role of bone marrow aspirate cells in the management of atrophic mandibular</w:t>
            </w:r>
          </w:p>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i/>
              </w:rPr>
            </w:pPr>
            <w:r w:rsidRPr="00681935">
              <w:rPr>
                <w:rFonts w:ascii="Times New Roman" w:eastAsia="Cambria" w:hAnsi="Times New Roman" w:cs="Times New Roman"/>
                <w:i/>
              </w:rPr>
              <w:t>fractures by mini-invasive surgical approach: Single-institution experience</w:t>
            </w:r>
          </w:p>
        </w:tc>
        <w:tc>
          <w:tcPr>
            <w:tcW w:w="903" w:type="dxa"/>
            <w:tcBorders>
              <w:top w:val="nil"/>
              <w:left w:val="nil"/>
              <w:bottom w:val="single" w:sz="4" w:space="0" w:color="000000"/>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i/>
              </w:rPr>
            </w:pPr>
            <w:r w:rsidRPr="00681935">
              <w:rPr>
                <w:rFonts w:ascii="Times New Roman" w:eastAsia="Cambria" w:hAnsi="Times New Roman" w:cs="Times New Roman"/>
                <w:i/>
              </w:rPr>
              <w:t>Clinical Trial</w:t>
            </w:r>
          </w:p>
        </w:tc>
        <w:tc>
          <w:tcPr>
            <w:tcW w:w="2035" w:type="dxa"/>
            <w:tcBorders>
              <w:top w:val="nil"/>
              <w:left w:val="nil"/>
              <w:bottom w:val="single" w:sz="4" w:space="0" w:color="000000"/>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Untuk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menilai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keuntungan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penggunaan</w:t>
            </w:r>
            <w:proofErr w:type="spellEnd"/>
            <w:r w:rsidRPr="00681935">
              <w:rPr>
                <w:rFonts w:ascii="Times New Roman" w:eastAsia="Cambria" w:hAnsi="Times New Roman" w:cs="Times New Roman"/>
              </w:rPr>
              <w:t xml:space="preserve"> </w:t>
            </w:r>
            <w:proofErr w:type="gramStart"/>
            <w:r w:rsidRPr="00681935">
              <w:rPr>
                <w:rFonts w:ascii="Times New Roman" w:eastAsia="Cambria" w:hAnsi="Times New Roman" w:cs="Times New Roman"/>
              </w:rPr>
              <w:t xml:space="preserve">autologous  </w:t>
            </w:r>
            <w:r w:rsidRPr="00681935">
              <w:rPr>
                <w:rFonts w:ascii="Times New Roman" w:eastAsia="Cambria" w:hAnsi="Times New Roman" w:cs="Times New Roman"/>
                <w:i/>
              </w:rPr>
              <w:t>stem</w:t>
            </w:r>
            <w:proofErr w:type="gramEnd"/>
            <w:r w:rsidRPr="00681935">
              <w:rPr>
                <w:rFonts w:ascii="Times New Roman" w:eastAsia="Cambria" w:hAnsi="Times New Roman" w:cs="Times New Roman"/>
                <w:i/>
              </w:rPr>
              <w:t xml:space="preserve"> cells</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untuk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perawatan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fraktur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mandibula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atropi</w:t>
            </w:r>
            <w:proofErr w:type="spellEnd"/>
            <w:r w:rsidRPr="00681935">
              <w:rPr>
                <w:rFonts w:ascii="Times New Roman" w:eastAsia="Cambria" w:hAnsi="Times New Roman" w:cs="Times New Roman"/>
              </w:rPr>
              <w:t>.</w:t>
            </w:r>
          </w:p>
        </w:tc>
        <w:tc>
          <w:tcPr>
            <w:tcW w:w="3942" w:type="dxa"/>
            <w:tcBorders>
              <w:top w:val="nil"/>
              <w:left w:val="nil"/>
              <w:bottom w:val="single" w:sz="4" w:space="0" w:color="000000"/>
              <w:right w:val="nil"/>
            </w:tcBorders>
            <w:shd w:val="clear" w:color="auto" w:fill="FFFFFF"/>
          </w:tcPr>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35 </w:t>
            </w:r>
            <w:proofErr w:type="spellStart"/>
            <w:r w:rsidRPr="00681935">
              <w:rPr>
                <w:rFonts w:ascii="Times New Roman" w:eastAsia="Cambria" w:hAnsi="Times New Roman" w:cs="Times New Roman"/>
              </w:rPr>
              <w:t>pasien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fraktur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dirawat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menggunakan</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open reduction</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dengan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atau</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tanpa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penggunaan</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bone marrow aspirated cell (</w:t>
            </w:r>
            <w:r w:rsidRPr="00681935">
              <w:rPr>
                <w:rFonts w:ascii="Times New Roman" w:eastAsia="Cambria" w:hAnsi="Times New Roman" w:cs="Times New Roman"/>
              </w:rPr>
              <w:t xml:space="preserve">BMAC)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dibagi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secara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acak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menjadi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dua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kelompok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yaitu</w:t>
            </w:r>
            <w:proofErr w:type="spellEnd"/>
          </w:p>
          <w:p w:rsidR="00681935" w:rsidRPr="00681935" w:rsidRDefault="00681935" w:rsidP="00822EEA">
            <w:pPr>
              <w:numPr>
                <w:ilvl w:val="0"/>
                <w:numId w:val="4"/>
              </w:numPr>
              <w:ind w:left="155" w:hanging="155"/>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A : </w:t>
            </w:r>
            <w:proofErr w:type="spellStart"/>
            <w:r w:rsidRPr="00681935">
              <w:rPr>
                <w:rFonts w:ascii="Times New Roman" w:eastAsia="Cambria" w:hAnsi="Times New Roman" w:cs="Times New Roman"/>
              </w:rPr>
              <w:t>ditambah</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autologous bone marrow aspirated cells</w:t>
            </w:r>
            <w:r w:rsidRPr="00681935">
              <w:rPr>
                <w:rFonts w:ascii="Times New Roman" w:eastAsia="Cambria" w:hAnsi="Times New Roman" w:cs="Times New Roman"/>
              </w:rPr>
              <w:t xml:space="preserve"> (BMACs)</w:t>
            </w:r>
          </w:p>
          <w:p w:rsidR="00681935" w:rsidRPr="00681935" w:rsidRDefault="00681935" w:rsidP="00822EEA">
            <w:pPr>
              <w:numPr>
                <w:ilvl w:val="0"/>
                <w:numId w:val="4"/>
              </w:numPr>
              <w:ind w:left="155" w:hanging="155"/>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B : </w:t>
            </w:r>
            <w:proofErr w:type="spellStart"/>
            <w:r w:rsidRPr="00681935">
              <w:rPr>
                <w:rFonts w:ascii="Times New Roman" w:eastAsia="Cambria" w:hAnsi="Times New Roman" w:cs="Times New Roman"/>
              </w:rPr>
              <w:t>tanpa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menggunakan</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autologous bone marrow aspirated cells</w:t>
            </w:r>
            <w:r w:rsidRPr="00681935">
              <w:rPr>
                <w:rFonts w:ascii="Times New Roman" w:eastAsia="Cambria" w:hAnsi="Times New Roman" w:cs="Times New Roman"/>
              </w:rPr>
              <w:t xml:space="preserve"> (BMACs)</w:t>
            </w:r>
          </w:p>
          <w:p w:rsidR="00681935" w:rsidRPr="00681935" w:rsidRDefault="00681935" w:rsidP="00822EEA">
            <w:pP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681935">
              <w:rPr>
                <w:rFonts w:ascii="Times New Roman" w:eastAsia="Cambria" w:hAnsi="Times New Roman" w:cs="Times New Roman"/>
              </w:rPr>
              <w:t xml:space="preserve">Stem cells yang </w:t>
            </w:r>
            <w:proofErr w:type="spellStart"/>
            <w:r w:rsidRPr="00681935">
              <w:rPr>
                <w:rFonts w:ascii="Times New Roman" w:eastAsia="Cambria" w:hAnsi="Times New Roman" w:cs="Times New Roman"/>
              </w:rPr>
              <w:t>digunakan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merupakan</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bone marrow cells</w:t>
            </w:r>
            <w:r w:rsidRPr="00681935">
              <w:rPr>
                <w:rFonts w:ascii="Times New Roman" w:eastAsia="Cambria" w:hAnsi="Times New Roman" w:cs="Times New Roman"/>
              </w:rPr>
              <w:t xml:space="preserve"> yang </w:t>
            </w:r>
            <w:proofErr w:type="spellStart"/>
            <w:r w:rsidRPr="00681935">
              <w:rPr>
                <w:rFonts w:ascii="Times New Roman" w:eastAsia="Cambria" w:hAnsi="Times New Roman" w:cs="Times New Roman"/>
              </w:rPr>
              <w:t>diambil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tulang</w:t>
            </w:r>
            <w:proofErr w:type="spellEnd"/>
            <w:r w:rsidRPr="00681935">
              <w:rPr>
                <w:rFonts w:ascii="Times New Roman" w:eastAsia="Cambria" w:hAnsi="Times New Roman" w:cs="Times New Roman"/>
              </w:rPr>
              <w:t xml:space="preserve"> iliac. </w:t>
            </w:r>
            <w:proofErr w:type="spellStart"/>
            <w:r w:rsidRPr="00681935">
              <w:rPr>
                <w:rFonts w:ascii="Times New Roman" w:eastAsia="Cambria" w:hAnsi="Times New Roman" w:cs="Times New Roman"/>
              </w:rPr>
              <w:t>Kemudian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setelah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dilakukan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evaluasi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klinis</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pasca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operasi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setelah</w:t>
            </w:r>
            <w:proofErr w:type="spellEnd"/>
            <w:r w:rsidRPr="00681935">
              <w:rPr>
                <w:rFonts w:ascii="Times New Roman" w:eastAsia="Cambria" w:hAnsi="Times New Roman" w:cs="Times New Roman"/>
              </w:rPr>
              <w:t xml:space="preserve"> 1 </w:t>
            </w:r>
            <w:proofErr w:type="spellStart"/>
            <w:r w:rsidRPr="00681935">
              <w:rPr>
                <w:rFonts w:ascii="Times New Roman" w:eastAsia="Cambria" w:hAnsi="Times New Roman" w:cs="Times New Roman"/>
              </w:rPr>
              <w:t>minggu</w:t>
            </w:r>
            <w:proofErr w:type="spellEnd"/>
            <w:r w:rsidRPr="00681935">
              <w:rPr>
                <w:rFonts w:ascii="Times New Roman" w:eastAsia="Cambria" w:hAnsi="Times New Roman" w:cs="Times New Roman"/>
              </w:rPr>
              <w:t xml:space="preserve">, 1 </w:t>
            </w:r>
            <w:proofErr w:type="spellStart"/>
            <w:r w:rsidRPr="00681935">
              <w:rPr>
                <w:rFonts w:ascii="Times New Roman" w:eastAsia="Cambria" w:hAnsi="Times New Roman" w:cs="Times New Roman"/>
              </w:rPr>
              <w:t>bulan</w:t>
            </w:r>
            <w:proofErr w:type="spellEnd"/>
            <w:r w:rsidRPr="00681935">
              <w:rPr>
                <w:rFonts w:ascii="Times New Roman" w:eastAsia="Cambria" w:hAnsi="Times New Roman" w:cs="Times New Roman"/>
              </w:rPr>
              <w:t xml:space="preserve">, 2 </w:t>
            </w:r>
            <w:proofErr w:type="spellStart"/>
            <w:r w:rsidRPr="00681935">
              <w:rPr>
                <w:rFonts w:ascii="Times New Roman" w:eastAsia="Cambria" w:hAnsi="Times New Roman" w:cs="Times New Roman"/>
              </w:rPr>
              <w:t>bulan</w:t>
            </w:r>
            <w:proofErr w:type="spellEnd"/>
            <w:r w:rsidRPr="00681935">
              <w:rPr>
                <w:rFonts w:ascii="Times New Roman" w:eastAsia="Cambria" w:hAnsi="Times New Roman" w:cs="Times New Roman"/>
              </w:rPr>
              <w:t xml:space="preserve">, 3 </w:t>
            </w:r>
            <w:proofErr w:type="spellStart"/>
            <w:r w:rsidRPr="00681935">
              <w:rPr>
                <w:rFonts w:ascii="Times New Roman" w:eastAsia="Cambria" w:hAnsi="Times New Roman" w:cs="Times New Roman"/>
              </w:rPr>
              <w:t>bulan</w:t>
            </w:r>
            <w:proofErr w:type="spellEnd"/>
            <w:r w:rsidRPr="00681935">
              <w:rPr>
                <w:rFonts w:ascii="Times New Roman" w:eastAsia="Cambria" w:hAnsi="Times New Roman" w:cs="Times New Roman"/>
              </w:rPr>
              <w:t xml:space="preserve">, 6 </w:t>
            </w:r>
            <w:proofErr w:type="spellStart"/>
            <w:r w:rsidRPr="00681935">
              <w:rPr>
                <w:rFonts w:ascii="Times New Roman" w:eastAsia="Cambria" w:hAnsi="Times New Roman" w:cs="Times New Roman"/>
              </w:rPr>
              <w:t>bulan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12 </w:t>
            </w:r>
            <w:proofErr w:type="spellStart"/>
            <w:r w:rsidRPr="00681935">
              <w:rPr>
                <w:rFonts w:ascii="Times New Roman" w:eastAsia="Cambria" w:hAnsi="Times New Roman" w:cs="Times New Roman"/>
              </w:rPr>
              <w:t>bulan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Selain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itu</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dilakukan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pemeriksaan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fotografi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analisis</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radiografi</w:t>
            </w:r>
            <w:proofErr w:type="spellEnd"/>
            <w:r w:rsidRPr="00681935">
              <w:rPr>
                <w:rFonts w:ascii="Times New Roman" w:eastAsia="Cambria" w:hAnsi="Times New Roman" w:cs="Times New Roman"/>
              </w:rPr>
              <w:t>.</w:t>
            </w:r>
          </w:p>
        </w:tc>
        <w:tc>
          <w:tcPr>
            <w:tcW w:w="2357" w:type="dxa"/>
            <w:tcBorders>
              <w:top w:val="nil"/>
              <w:left w:val="nil"/>
              <w:bottom w:val="single" w:sz="4" w:space="0" w:color="000000"/>
              <w:right w:val="nil"/>
            </w:tcBorders>
            <w:shd w:val="clear" w:color="auto" w:fill="FFFFFF"/>
          </w:tcPr>
          <w:p w:rsidR="00681935" w:rsidRPr="00681935" w:rsidRDefault="00681935" w:rsidP="00822EEA">
            <w:pPr>
              <w:numPr>
                <w:ilvl w:val="0"/>
                <w:numId w:val="4"/>
              </w:numPr>
              <w:ind w:left="65" w:hanging="65"/>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Komplikasi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hanya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terjadi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pada</w:t>
            </w:r>
            <w:proofErr w:type="spellEnd"/>
            <w:r w:rsidRPr="00681935">
              <w:rPr>
                <w:rFonts w:ascii="Times New Roman" w:eastAsia="Cambria" w:hAnsi="Times New Roman" w:cs="Times New Roman"/>
              </w:rPr>
              <w:t xml:space="preserve"> 5 </w:t>
            </w:r>
            <w:proofErr w:type="spellStart"/>
            <w:r w:rsidRPr="00681935">
              <w:rPr>
                <w:rFonts w:ascii="Times New Roman" w:eastAsia="Cambria" w:hAnsi="Times New Roman" w:cs="Times New Roman"/>
              </w:rPr>
              <w:t>pasien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pada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w:t>
            </w:r>
            <w:proofErr w:type="gramStart"/>
            <w:r w:rsidRPr="00681935">
              <w:rPr>
                <w:rFonts w:ascii="Times New Roman" w:eastAsia="Cambria" w:hAnsi="Times New Roman" w:cs="Times New Roman"/>
              </w:rPr>
              <w:t>B  (</w:t>
            </w:r>
            <w:proofErr w:type="gramEnd"/>
            <w:r w:rsidRPr="00681935">
              <w:rPr>
                <w:rFonts w:ascii="Times New Roman" w:eastAsia="Cambria" w:hAnsi="Times New Roman" w:cs="Times New Roman"/>
              </w:rPr>
              <w:t>14,3%)</w:t>
            </w:r>
          </w:p>
          <w:p w:rsidR="00681935" w:rsidRPr="00681935" w:rsidRDefault="00681935" w:rsidP="00822EEA">
            <w:pPr>
              <w:numPr>
                <w:ilvl w:val="0"/>
                <w:numId w:val="4"/>
              </w:numPr>
              <w:ind w:left="65" w:hanging="65"/>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gramStart"/>
            <w:r w:rsidRPr="00681935">
              <w:rPr>
                <w:rFonts w:ascii="Times New Roman" w:eastAsia="Cambria" w:hAnsi="Times New Roman" w:cs="Times New Roman"/>
                <w:i/>
              </w:rPr>
              <w:t>wound</w:t>
            </w:r>
            <w:proofErr w:type="gramEnd"/>
            <w:r w:rsidRPr="00681935">
              <w:rPr>
                <w:rFonts w:ascii="Times New Roman" w:eastAsia="Cambria" w:hAnsi="Times New Roman" w:cs="Times New Roman"/>
                <w:i/>
              </w:rPr>
              <w:t xml:space="preserve"> dehiscence</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terjadi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baik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pada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A </w:t>
            </w:r>
            <w:proofErr w:type="spellStart"/>
            <w:r w:rsidRPr="00681935">
              <w:rPr>
                <w:rFonts w:ascii="Times New Roman" w:eastAsia="Cambria" w:hAnsi="Times New Roman" w:cs="Times New Roman"/>
              </w:rPr>
              <w:t>maupun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B.</w:t>
            </w:r>
          </w:p>
          <w:p w:rsidR="00681935" w:rsidRPr="00681935" w:rsidRDefault="00681935" w:rsidP="00822EEA">
            <w:pPr>
              <w:numPr>
                <w:ilvl w:val="0"/>
                <w:numId w:val="4"/>
              </w:numPr>
              <w:ind w:left="65" w:hanging="65"/>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Infeksi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lokal</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terjadi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pada</w:t>
            </w:r>
            <w:proofErr w:type="spellEnd"/>
            <w:r w:rsidRPr="00681935">
              <w:rPr>
                <w:rFonts w:ascii="Times New Roman" w:eastAsia="Cambria" w:hAnsi="Times New Roman" w:cs="Times New Roman"/>
              </w:rPr>
              <w:t xml:space="preserve"> 1 </w:t>
            </w:r>
            <w:proofErr w:type="spellStart"/>
            <w:r w:rsidRPr="00681935">
              <w:rPr>
                <w:rFonts w:ascii="Times New Roman" w:eastAsia="Cambria" w:hAnsi="Times New Roman" w:cs="Times New Roman"/>
              </w:rPr>
              <w:t>pasien</w:t>
            </w:r>
            <w:proofErr w:type="spellEnd"/>
            <w:r w:rsidRPr="00681935">
              <w:rPr>
                <w:rFonts w:ascii="Times New Roman" w:eastAsia="Cambria" w:hAnsi="Times New Roman" w:cs="Times New Roman"/>
              </w:rPr>
              <w:t xml:space="preserve"> di </w:t>
            </w: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B.</w:t>
            </w:r>
          </w:p>
          <w:p w:rsidR="00681935" w:rsidRPr="00681935" w:rsidRDefault="00681935" w:rsidP="00822EEA">
            <w:pPr>
              <w:numPr>
                <w:ilvl w:val="0"/>
                <w:numId w:val="4"/>
              </w:numPr>
              <w:ind w:left="65" w:hanging="65"/>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Pada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w:t>
            </w:r>
            <w:proofErr w:type="gramStart"/>
            <w:r w:rsidRPr="00681935">
              <w:rPr>
                <w:rFonts w:ascii="Times New Roman" w:eastAsia="Cambria" w:hAnsi="Times New Roman" w:cs="Times New Roman"/>
              </w:rPr>
              <w:t>A</w:t>
            </w:r>
            <w:proofErr w:type="gramEnd"/>
            <w:r w:rsidRPr="00681935">
              <w:rPr>
                <w:rFonts w:ascii="Times New Roman" w:eastAsia="Cambria" w:hAnsi="Times New Roman" w:cs="Times New Roman"/>
              </w:rPr>
              <w:t xml:space="preserve"> rasa </w:t>
            </w:r>
            <w:proofErr w:type="spellStart"/>
            <w:r w:rsidRPr="00681935">
              <w:rPr>
                <w:rFonts w:ascii="Times New Roman" w:eastAsia="Cambria" w:hAnsi="Times New Roman" w:cs="Times New Roman"/>
              </w:rPr>
              <w:t>sakit</w:t>
            </w:r>
            <w:proofErr w:type="spellEnd"/>
            <w:r w:rsidRPr="00681935">
              <w:rPr>
                <w:rFonts w:ascii="Times New Roman" w:eastAsia="Cambria" w:hAnsi="Times New Roman" w:cs="Times New Roman"/>
              </w:rPr>
              <w:t xml:space="preserve"> yang </w:t>
            </w:r>
            <w:proofErr w:type="spellStart"/>
            <w:r w:rsidRPr="00681935">
              <w:rPr>
                <w:rFonts w:ascii="Times New Roman" w:eastAsia="Cambria" w:hAnsi="Times New Roman" w:cs="Times New Roman"/>
              </w:rPr>
              <w:t>dirasakan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setelah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operasi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tidak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ada</w:t>
            </w:r>
            <w:proofErr w:type="spellEnd"/>
            <w:r w:rsidRPr="00681935">
              <w:rPr>
                <w:rFonts w:ascii="Times New Roman" w:eastAsia="Cambria" w:hAnsi="Times New Roman" w:cs="Times New Roman"/>
              </w:rPr>
              <w:t xml:space="preserve"> yang </w:t>
            </w:r>
            <w:proofErr w:type="spellStart"/>
            <w:r w:rsidRPr="00681935">
              <w:rPr>
                <w:rFonts w:ascii="Times New Roman" w:eastAsia="Cambria" w:hAnsi="Times New Roman" w:cs="Times New Roman"/>
              </w:rPr>
              <w:t>lebih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skala</w:t>
            </w:r>
            <w:proofErr w:type="spellEnd"/>
            <w:r w:rsidRPr="00681935">
              <w:rPr>
                <w:rFonts w:ascii="Times New Roman" w:eastAsia="Cambria" w:hAnsi="Times New Roman" w:cs="Times New Roman"/>
              </w:rPr>
              <w:t xml:space="preserve"> 7, </w:t>
            </w:r>
            <w:proofErr w:type="spellStart"/>
            <w:r w:rsidRPr="00681935">
              <w:rPr>
                <w:rFonts w:ascii="Times New Roman" w:eastAsia="Cambria" w:hAnsi="Times New Roman" w:cs="Times New Roman"/>
              </w:rPr>
              <w:t>sedangkan</w:t>
            </w:r>
            <w:proofErr w:type="spellEnd"/>
            <w:r w:rsidRPr="00681935">
              <w:rPr>
                <w:rFonts w:ascii="Times New Roman" w:eastAsia="Cambria" w:hAnsi="Times New Roman" w:cs="Times New Roman"/>
              </w:rPr>
              <w:t xml:space="preserve"> 2 </w:t>
            </w:r>
            <w:proofErr w:type="spellStart"/>
            <w:r w:rsidRPr="00681935">
              <w:rPr>
                <w:rFonts w:ascii="Times New Roman" w:eastAsia="Cambria" w:hAnsi="Times New Roman" w:cs="Times New Roman"/>
              </w:rPr>
              <w:t>pasien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pada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grup</w:t>
            </w:r>
            <w:proofErr w:type="spellEnd"/>
            <w:r w:rsidRPr="00681935">
              <w:rPr>
                <w:rFonts w:ascii="Times New Roman" w:eastAsia="Cambria" w:hAnsi="Times New Roman" w:cs="Times New Roman"/>
              </w:rPr>
              <w:t xml:space="preserve"> B </w:t>
            </w:r>
            <w:proofErr w:type="spellStart"/>
            <w:r w:rsidRPr="00681935">
              <w:rPr>
                <w:rFonts w:ascii="Times New Roman" w:eastAsia="Cambria" w:hAnsi="Times New Roman" w:cs="Times New Roman"/>
              </w:rPr>
              <w:t>merasakan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sakit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lebih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dari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skala</w:t>
            </w:r>
            <w:proofErr w:type="spellEnd"/>
            <w:r w:rsidRPr="00681935">
              <w:rPr>
                <w:rFonts w:ascii="Times New Roman" w:eastAsia="Cambria" w:hAnsi="Times New Roman" w:cs="Times New Roman"/>
              </w:rPr>
              <w:t xml:space="preserve"> 7.</w:t>
            </w:r>
          </w:p>
        </w:tc>
        <w:tc>
          <w:tcPr>
            <w:tcW w:w="1780" w:type="dxa"/>
            <w:tcBorders>
              <w:top w:val="nil"/>
              <w:left w:val="nil"/>
              <w:bottom w:val="single" w:sz="4" w:space="0" w:color="000000"/>
              <w:right w:val="nil"/>
            </w:tcBorders>
            <w:shd w:val="clear" w:color="auto" w:fill="FFFFFF"/>
          </w:tcPr>
          <w:p w:rsidR="00681935" w:rsidRPr="00681935" w:rsidRDefault="00681935" w:rsidP="00822EEA">
            <w:pPr>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proofErr w:type="spellStart"/>
            <w:r w:rsidRPr="00681935">
              <w:rPr>
                <w:rFonts w:ascii="Times New Roman" w:eastAsia="Cambria" w:hAnsi="Times New Roman" w:cs="Times New Roman"/>
              </w:rPr>
              <w:t>Perawatan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menggunakan</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mini-invasive open approach bone graft</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dapat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meningkatkan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pemulihan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Selain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itu</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perawatan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fraktur</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atropi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mandibula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menggunakan</w:t>
            </w:r>
            <w:proofErr w:type="spellEnd"/>
            <w:r w:rsidRPr="00681935">
              <w:rPr>
                <w:rFonts w:ascii="Times New Roman" w:eastAsia="Cambria" w:hAnsi="Times New Roman" w:cs="Times New Roman"/>
              </w:rPr>
              <w:t xml:space="preserve"> </w:t>
            </w:r>
            <w:r w:rsidRPr="00681935">
              <w:rPr>
                <w:rFonts w:ascii="Times New Roman" w:eastAsia="Cambria" w:hAnsi="Times New Roman" w:cs="Times New Roman"/>
                <w:i/>
              </w:rPr>
              <w:t>bone marrow aspirate cell</w:t>
            </w:r>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merupakan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prosedur</w:t>
            </w:r>
            <w:proofErr w:type="spellEnd"/>
            <w:r w:rsidRPr="00681935">
              <w:rPr>
                <w:rFonts w:ascii="Times New Roman" w:eastAsia="Cambria" w:hAnsi="Times New Roman" w:cs="Times New Roman"/>
              </w:rPr>
              <w:t xml:space="preserve"> yang </w:t>
            </w:r>
            <w:proofErr w:type="spellStart"/>
            <w:r w:rsidRPr="00681935">
              <w:rPr>
                <w:rFonts w:ascii="Times New Roman" w:eastAsia="Cambria" w:hAnsi="Times New Roman" w:cs="Times New Roman"/>
              </w:rPr>
              <w:t>aman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bermanfaat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serta</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memiliki</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tingkat</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komplikasi</w:t>
            </w:r>
            <w:proofErr w:type="spellEnd"/>
            <w:r w:rsidRPr="00681935">
              <w:rPr>
                <w:rFonts w:ascii="Times New Roman" w:eastAsia="Cambria" w:hAnsi="Times New Roman" w:cs="Times New Roman"/>
              </w:rPr>
              <w:t xml:space="preserve"> yang </w:t>
            </w:r>
            <w:proofErr w:type="spellStart"/>
            <w:r w:rsidRPr="00681935">
              <w:rPr>
                <w:rFonts w:ascii="Times New Roman" w:eastAsia="Cambria" w:hAnsi="Times New Roman" w:cs="Times New Roman"/>
              </w:rPr>
              <w:t>lebih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rendah</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dibandingkan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dengan</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teknik</w:t>
            </w:r>
            <w:proofErr w:type="spellEnd"/>
            <w:r w:rsidRPr="00681935">
              <w:rPr>
                <w:rFonts w:ascii="Times New Roman" w:eastAsia="Cambria" w:hAnsi="Times New Roman" w:cs="Times New Roman"/>
              </w:rPr>
              <w:t xml:space="preserve"> </w:t>
            </w:r>
            <w:proofErr w:type="spellStart"/>
            <w:r w:rsidRPr="00681935">
              <w:rPr>
                <w:rFonts w:ascii="Times New Roman" w:eastAsia="Cambria" w:hAnsi="Times New Roman" w:cs="Times New Roman"/>
              </w:rPr>
              <w:t>standar</w:t>
            </w:r>
            <w:proofErr w:type="spellEnd"/>
            <w:r w:rsidRPr="00681935">
              <w:rPr>
                <w:rFonts w:ascii="Times New Roman" w:eastAsia="Cambria" w:hAnsi="Times New Roman" w:cs="Times New Roman"/>
              </w:rPr>
              <w:t>.</w:t>
            </w:r>
          </w:p>
        </w:tc>
      </w:tr>
    </w:tbl>
    <w:p w:rsidR="00681935" w:rsidRPr="00681935" w:rsidRDefault="00681935" w:rsidP="00681935">
      <w:pPr>
        <w:widowControl w:val="0"/>
        <w:spacing w:after="0" w:line="240" w:lineRule="auto"/>
        <w:ind w:left="640" w:hanging="640"/>
        <w:jc w:val="both"/>
        <w:rPr>
          <w:rFonts w:ascii="Times New Roman" w:eastAsia="Cambria" w:hAnsi="Times New Roman" w:cs="Times New Roman"/>
          <w:b/>
          <w:sz w:val="20"/>
          <w:szCs w:val="20"/>
        </w:rPr>
      </w:pPr>
    </w:p>
    <w:p w:rsidR="00C16776" w:rsidRPr="00681935" w:rsidRDefault="00C16776">
      <w:pPr>
        <w:rPr>
          <w:sz w:val="20"/>
          <w:szCs w:val="20"/>
        </w:rPr>
      </w:pPr>
    </w:p>
    <w:sectPr w:rsidR="00C16776" w:rsidRPr="00681935" w:rsidSect="00681935">
      <w:pgSz w:w="16838" w:h="11906" w:orient="landscape" w:code="9"/>
      <w:pgMar w:top="1418" w:right="1418" w:bottom="1418" w:left="1418"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E6E7A"/>
    <w:multiLevelType w:val="multilevel"/>
    <w:tmpl w:val="26BE6E7A"/>
    <w:lvl w:ilvl="0">
      <w:start w:val="2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ED7A6C"/>
    <w:multiLevelType w:val="multilevel"/>
    <w:tmpl w:val="27ED7A6C"/>
    <w:lvl w:ilvl="0">
      <w:start w:val="2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6CE3B53"/>
    <w:multiLevelType w:val="multilevel"/>
    <w:tmpl w:val="66CE3B53"/>
    <w:lvl w:ilvl="0">
      <w:start w:val="24"/>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763082B"/>
    <w:multiLevelType w:val="multilevel"/>
    <w:tmpl w:val="6763082B"/>
    <w:lvl w:ilvl="0">
      <w:start w:val="24"/>
      <w:numFmt w:val="bullet"/>
      <w:lvlText w:val="-"/>
      <w:lvlJc w:val="left"/>
      <w:pPr>
        <w:ind w:left="785"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35"/>
    <w:rsid w:val="001C673D"/>
    <w:rsid w:val="00622F3D"/>
    <w:rsid w:val="00681935"/>
    <w:rsid w:val="00C167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93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2">
    <w:name w:val="_Style 22"/>
    <w:basedOn w:val="TableNormal"/>
    <w:rsid w:val="00681935"/>
    <w:pPr>
      <w:spacing w:after="0" w:line="240" w:lineRule="auto"/>
    </w:pPr>
    <w:rPr>
      <w:rFonts w:ascii="Calibri" w:eastAsia="Calibri" w:hAnsi="Calibri" w:cs="Calibri"/>
      <w:color w:val="000000"/>
      <w:sz w:val="20"/>
      <w:szCs w:val="20"/>
      <w:lang w:val="en-US"/>
    </w:rPr>
    <w:tblPr>
      <w:tblInd w:w="0" w:type="dxa"/>
      <w:tblCellMar>
        <w:top w:w="0" w:type="dxa"/>
        <w:left w:w="108" w:type="dxa"/>
        <w:bottom w:w="0" w:type="dxa"/>
        <w:right w:w="108" w:type="dxa"/>
      </w:tblCellMar>
    </w:tblPr>
  </w:style>
  <w:style w:type="table" w:customStyle="1" w:styleId="Style23">
    <w:name w:val="_Style 23"/>
    <w:basedOn w:val="TableNormal"/>
    <w:rsid w:val="00681935"/>
    <w:pPr>
      <w:spacing w:after="0" w:line="240" w:lineRule="auto"/>
    </w:pPr>
    <w:rPr>
      <w:rFonts w:ascii="Calibri" w:eastAsia="Calibri" w:hAnsi="Calibri" w:cs="Calibri"/>
      <w:color w:val="000000"/>
      <w:sz w:val="20"/>
      <w:szCs w:val="20"/>
      <w:lang w:val="en-US"/>
    </w:rPr>
    <w:tblPr>
      <w:tblInd w:w="0" w:type="dxa"/>
      <w:tblCellMar>
        <w:top w:w="0" w:type="dxa"/>
        <w:left w:w="108" w:type="dxa"/>
        <w:bottom w:w="0"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BalloonText">
    <w:name w:val="Balloon Text"/>
    <w:basedOn w:val="Normal"/>
    <w:link w:val="BalloonTextChar"/>
    <w:uiPriority w:val="99"/>
    <w:semiHidden/>
    <w:unhideWhenUsed/>
    <w:rsid w:val="0068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93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93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2">
    <w:name w:val="_Style 22"/>
    <w:basedOn w:val="TableNormal"/>
    <w:rsid w:val="00681935"/>
    <w:pPr>
      <w:spacing w:after="0" w:line="240" w:lineRule="auto"/>
    </w:pPr>
    <w:rPr>
      <w:rFonts w:ascii="Calibri" w:eastAsia="Calibri" w:hAnsi="Calibri" w:cs="Calibri"/>
      <w:color w:val="000000"/>
      <w:sz w:val="20"/>
      <w:szCs w:val="20"/>
      <w:lang w:val="en-US"/>
    </w:rPr>
    <w:tblPr>
      <w:tblInd w:w="0" w:type="dxa"/>
      <w:tblCellMar>
        <w:top w:w="0" w:type="dxa"/>
        <w:left w:w="108" w:type="dxa"/>
        <w:bottom w:w="0" w:type="dxa"/>
        <w:right w:w="108" w:type="dxa"/>
      </w:tblCellMar>
    </w:tblPr>
  </w:style>
  <w:style w:type="table" w:customStyle="1" w:styleId="Style23">
    <w:name w:val="_Style 23"/>
    <w:basedOn w:val="TableNormal"/>
    <w:rsid w:val="00681935"/>
    <w:pPr>
      <w:spacing w:after="0" w:line="240" w:lineRule="auto"/>
    </w:pPr>
    <w:rPr>
      <w:rFonts w:ascii="Calibri" w:eastAsia="Calibri" w:hAnsi="Calibri" w:cs="Calibri"/>
      <w:color w:val="000000"/>
      <w:sz w:val="20"/>
      <w:szCs w:val="20"/>
      <w:lang w:val="en-US"/>
    </w:rPr>
    <w:tblPr>
      <w:tblInd w:w="0" w:type="dxa"/>
      <w:tblCellMar>
        <w:top w:w="0" w:type="dxa"/>
        <w:left w:w="108" w:type="dxa"/>
        <w:bottom w:w="0"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BalloonText">
    <w:name w:val="Balloon Text"/>
    <w:basedOn w:val="Normal"/>
    <w:link w:val="BalloonTextChar"/>
    <w:uiPriority w:val="99"/>
    <w:semiHidden/>
    <w:unhideWhenUsed/>
    <w:rsid w:val="0068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9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ARUM</dc:creator>
  <cp:lastModifiedBy>ARUM</cp:lastModifiedBy>
  <cp:revision>1</cp:revision>
  <dcterms:created xsi:type="dcterms:W3CDTF">2021-07-01T09:09:00Z</dcterms:created>
  <dcterms:modified xsi:type="dcterms:W3CDTF">2021-07-01T09:11:00Z</dcterms:modified>
</cp:coreProperties>
</file>